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CE75C" w14:textId="77777777" w:rsidR="00AB1293" w:rsidRPr="00C1185E" w:rsidRDefault="00511DD4">
      <w:pPr>
        <w:jc w:val="center"/>
        <w:rPr>
          <w:rFonts w:ascii="Times New Roman" w:hAnsi="Times New Roman" w:cs="Times New Roman"/>
          <w:b/>
          <w:sz w:val="32"/>
          <w:szCs w:val="22"/>
        </w:rPr>
      </w:pPr>
      <w:r w:rsidRPr="00C1185E">
        <w:rPr>
          <w:rFonts w:ascii="Times New Roman" w:hAnsi="Times New Roman" w:cs="Times New Roman"/>
          <w:b/>
          <w:sz w:val="32"/>
          <w:szCs w:val="22"/>
        </w:rPr>
        <w:t>Términos de referencia para auditorías externas del programa financiado por el Fondo Mundial</w:t>
      </w:r>
    </w:p>
    <w:p w14:paraId="0EC49276" w14:textId="77777777" w:rsidR="00AB1293" w:rsidRPr="00077A67" w:rsidRDefault="00AB1293">
      <w:pPr>
        <w:rPr>
          <w:rFonts w:ascii="Times New Roman" w:hAnsi="Times New Roman" w:cs="Times New Roman"/>
          <w:sz w:val="22"/>
          <w:szCs w:val="22"/>
        </w:rPr>
      </w:pPr>
    </w:p>
    <w:p w14:paraId="1B295AA2" w14:textId="77777777" w:rsidR="00C1185E" w:rsidRDefault="00C1185E">
      <w:pPr>
        <w:rPr>
          <w:rFonts w:ascii="Times New Roman" w:hAnsi="Times New Roman" w:cs="Times New Roman"/>
          <w:b/>
          <w:sz w:val="22"/>
          <w:szCs w:val="22"/>
        </w:rPr>
      </w:pPr>
    </w:p>
    <w:p w14:paraId="26336AD9" w14:textId="2AB2746E" w:rsidR="00AB1293" w:rsidRPr="00077A67" w:rsidRDefault="00511DD4">
      <w:pPr>
        <w:rPr>
          <w:rFonts w:ascii="Times New Roman" w:hAnsi="Times New Roman" w:cs="Times New Roman"/>
          <w:sz w:val="22"/>
          <w:szCs w:val="22"/>
        </w:rPr>
      </w:pPr>
      <w:r w:rsidRPr="00077A67">
        <w:rPr>
          <w:rFonts w:ascii="Times New Roman" w:hAnsi="Times New Roman" w:cs="Times New Roman"/>
          <w:b/>
          <w:sz w:val="22"/>
          <w:szCs w:val="22"/>
        </w:rPr>
        <w:t>Receptor Principal (RP):</w:t>
      </w:r>
      <w:r w:rsidRPr="00077A67">
        <w:rPr>
          <w:rFonts w:ascii="Times New Roman" w:hAnsi="Times New Roman" w:cs="Times New Roman"/>
          <w:sz w:val="22"/>
          <w:szCs w:val="22"/>
        </w:rPr>
        <w:t xml:space="preserve"> Instituto Humanista para la Cooperación con los Países en Desarrollo</w:t>
      </w:r>
    </w:p>
    <w:p w14:paraId="1D96C03B" w14:textId="77777777" w:rsidR="0016140D" w:rsidRPr="0016140D" w:rsidRDefault="00511DD4" w:rsidP="0016140D">
      <w:pPr>
        <w:rPr>
          <w:rFonts w:ascii="Times New Roman" w:hAnsi="Times New Roman" w:cs="Times New Roman"/>
          <w:sz w:val="22"/>
          <w:szCs w:val="22"/>
        </w:rPr>
      </w:pPr>
      <w:r w:rsidRPr="00077A67">
        <w:rPr>
          <w:rFonts w:ascii="Times New Roman" w:hAnsi="Times New Roman" w:cs="Times New Roman"/>
          <w:b/>
          <w:sz w:val="22"/>
          <w:szCs w:val="22"/>
        </w:rPr>
        <w:t>Nombre del programa:</w:t>
      </w:r>
      <w:r w:rsidR="004447E2" w:rsidRPr="00077A67">
        <w:rPr>
          <w:rFonts w:ascii="Times New Roman" w:hAnsi="Times New Roman" w:cs="Times New Roman"/>
          <w:sz w:val="22"/>
          <w:szCs w:val="22"/>
        </w:rPr>
        <w:t xml:space="preserve"> </w:t>
      </w:r>
      <w:r w:rsidR="0016140D" w:rsidRPr="0016140D">
        <w:rPr>
          <w:rFonts w:ascii="Times New Roman" w:hAnsi="Times New Roman" w:cs="Times New Roman"/>
          <w:sz w:val="22"/>
          <w:szCs w:val="22"/>
        </w:rPr>
        <w:t>Proyecto País: “Costa Rica: transitando hacia la sostenibilidad de la respuesta al VIH con financiamiento doméstico 2018-2021”</w:t>
      </w:r>
    </w:p>
    <w:p w14:paraId="3B595028" w14:textId="77777777" w:rsidR="00AB1293" w:rsidRPr="00077A67" w:rsidRDefault="00AB1293">
      <w:pPr>
        <w:rPr>
          <w:rFonts w:ascii="Times New Roman" w:hAnsi="Times New Roman" w:cs="Times New Roman"/>
          <w:sz w:val="22"/>
          <w:szCs w:val="22"/>
        </w:rPr>
      </w:pPr>
    </w:p>
    <w:p w14:paraId="6C64D543" w14:textId="69031152" w:rsidR="00AB1293" w:rsidRPr="00077A67" w:rsidRDefault="00511DD4">
      <w:pPr>
        <w:rPr>
          <w:rFonts w:ascii="Times New Roman" w:hAnsi="Times New Roman" w:cs="Times New Roman"/>
          <w:sz w:val="22"/>
          <w:szCs w:val="22"/>
        </w:rPr>
      </w:pPr>
      <w:r w:rsidRPr="00077A67">
        <w:rPr>
          <w:rFonts w:ascii="Times New Roman" w:hAnsi="Times New Roman" w:cs="Times New Roman"/>
          <w:b/>
          <w:sz w:val="22"/>
          <w:szCs w:val="22"/>
        </w:rPr>
        <w:t>Período cubierto por la auditoría:</w:t>
      </w:r>
      <w:r w:rsidR="0016140D">
        <w:rPr>
          <w:rFonts w:ascii="Times New Roman" w:hAnsi="Times New Roman" w:cs="Times New Roman"/>
          <w:sz w:val="22"/>
          <w:szCs w:val="22"/>
        </w:rPr>
        <w:t xml:space="preserve"> del 1 de enero </w:t>
      </w:r>
      <w:r w:rsidRPr="00077A67">
        <w:rPr>
          <w:rFonts w:ascii="Times New Roman" w:hAnsi="Times New Roman" w:cs="Times New Roman"/>
          <w:sz w:val="22"/>
          <w:szCs w:val="22"/>
        </w:rPr>
        <w:t>al 3</w:t>
      </w:r>
      <w:r w:rsidR="00103B05" w:rsidRPr="00077A67">
        <w:rPr>
          <w:rFonts w:ascii="Times New Roman" w:hAnsi="Times New Roman" w:cs="Times New Roman"/>
          <w:sz w:val="22"/>
          <w:szCs w:val="22"/>
        </w:rPr>
        <w:t>0</w:t>
      </w:r>
      <w:r w:rsidRPr="00077A67">
        <w:rPr>
          <w:rFonts w:ascii="Times New Roman" w:hAnsi="Times New Roman" w:cs="Times New Roman"/>
          <w:sz w:val="22"/>
          <w:szCs w:val="22"/>
        </w:rPr>
        <w:t xml:space="preserve"> de </w:t>
      </w:r>
      <w:r w:rsidR="0016140D">
        <w:rPr>
          <w:rFonts w:ascii="Times New Roman" w:hAnsi="Times New Roman" w:cs="Times New Roman"/>
          <w:sz w:val="22"/>
          <w:szCs w:val="22"/>
        </w:rPr>
        <w:t>diciembre</w:t>
      </w:r>
      <w:r w:rsidR="00103B05" w:rsidRPr="00077A67">
        <w:rPr>
          <w:rFonts w:ascii="Times New Roman" w:hAnsi="Times New Roman" w:cs="Times New Roman"/>
          <w:sz w:val="22"/>
          <w:szCs w:val="22"/>
        </w:rPr>
        <w:t xml:space="preserve"> </w:t>
      </w:r>
      <w:r w:rsidRPr="00077A67">
        <w:rPr>
          <w:rFonts w:ascii="Times New Roman" w:hAnsi="Times New Roman" w:cs="Times New Roman"/>
          <w:sz w:val="22"/>
          <w:szCs w:val="22"/>
        </w:rPr>
        <w:t>de 20</w:t>
      </w:r>
      <w:r w:rsidR="009F22A9">
        <w:rPr>
          <w:rFonts w:ascii="Times New Roman" w:hAnsi="Times New Roman" w:cs="Times New Roman"/>
          <w:sz w:val="22"/>
          <w:szCs w:val="22"/>
        </w:rPr>
        <w:t>20</w:t>
      </w:r>
      <w:r w:rsidR="003B41C9">
        <w:rPr>
          <w:rFonts w:ascii="Times New Roman" w:hAnsi="Times New Roman" w:cs="Times New Roman"/>
          <w:sz w:val="22"/>
          <w:szCs w:val="22"/>
        </w:rPr>
        <w:t xml:space="preserve"> en un solo </w:t>
      </w:r>
      <w:r w:rsidR="00077A67" w:rsidRPr="00077A67">
        <w:rPr>
          <w:rFonts w:ascii="Times New Roman" w:hAnsi="Times New Roman" w:cs="Times New Roman"/>
          <w:sz w:val="22"/>
          <w:szCs w:val="22"/>
        </w:rPr>
        <w:t>informe</w:t>
      </w:r>
      <w:r w:rsidR="003B41C9">
        <w:rPr>
          <w:rFonts w:ascii="Times New Roman" w:hAnsi="Times New Roman" w:cs="Times New Roman"/>
          <w:sz w:val="22"/>
          <w:szCs w:val="22"/>
        </w:rPr>
        <w:t>.</w:t>
      </w:r>
    </w:p>
    <w:p w14:paraId="73565729" w14:textId="4B6406B6" w:rsidR="00AB1293" w:rsidRDefault="00AB1293">
      <w:pPr>
        <w:rPr>
          <w:rFonts w:ascii="Times New Roman" w:hAnsi="Times New Roman" w:cs="Times New Roman"/>
          <w:sz w:val="22"/>
          <w:szCs w:val="22"/>
        </w:rPr>
      </w:pPr>
    </w:p>
    <w:p w14:paraId="08C84024" w14:textId="77777777" w:rsidR="00C1185E" w:rsidRDefault="00C1185E" w:rsidP="00C1185E">
      <w:pPr>
        <w:jc w:val="center"/>
        <w:rPr>
          <w:rFonts w:ascii="Times New Roman" w:hAnsi="Times New Roman" w:cs="Times New Roman"/>
          <w:b/>
          <w:szCs w:val="22"/>
          <w:u w:val="single"/>
        </w:rPr>
      </w:pPr>
    </w:p>
    <w:p w14:paraId="20C1EC14" w14:textId="1C126563" w:rsidR="003D3B1B" w:rsidRPr="00C1185E" w:rsidRDefault="003D3B1B" w:rsidP="00C1185E">
      <w:pPr>
        <w:jc w:val="center"/>
        <w:rPr>
          <w:rFonts w:ascii="Times New Roman" w:hAnsi="Times New Roman" w:cs="Times New Roman"/>
          <w:b/>
          <w:szCs w:val="22"/>
          <w:u w:val="single"/>
        </w:rPr>
      </w:pPr>
      <w:r w:rsidRPr="00C1185E">
        <w:rPr>
          <w:rFonts w:ascii="Times New Roman" w:hAnsi="Times New Roman" w:cs="Times New Roman"/>
          <w:b/>
          <w:szCs w:val="22"/>
          <w:u w:val="single"/>
        </w:rPr>
        <w:t>Términos de referencia</w:t>
      </w:r>
    </w:p>
    <w:p w14:paraId="4A8A7F86" w14:textId="77777777" w:rsidR="003D3B1B" w:rsidRPr="00077A67" w:rsidRDefault="003D3B1B" w:rsidP="003D3B1B">
      <w:pPr>
        <w:rPr>
          <w:rFonts w:ascii="Times New Roman" w:hAnsi="Times New Roman" w:cs="Times New Roman"/>
          <w:szCs w:val="22"/>
        </w:rPr>
      </w:pPr>
      <w:bookmarkStart w:id="0" w:name="_GoBack"/>
      <w:bookmarkEnd w:id="0"/>
    </w:p>
    <w:p w14:paraId="3E4B23BA" w14:textId="77777777" w:rsidR="003D3B1B" w:rsidRPr="00077A67" w:rsidRDefault="003D3B1B" w:rsidP="003D3B1B">
      <w:pPr>
        <w:rPr>
          <w:rFonts w:ascii="Times New Roman" w:hAnsi="Times New Roman" w:cs="Times New Roman"/>
          <w:szCs w:val="22"/>
        </w:rPr>
      </w:pPr>
      <w:r w:rsidRPr="00077A67">
        <w:rPr>
          <w:rFonts w:ascii="Times New Roman" w:hAnsi="Times New Roman" w:cs="Times New Roman"/>
          <w:szCs w:val="22"/>
        </w:rPr>
        <w:t>1. Antecedentes del programa, estructura de la auditoría y descripción de las entidades</w:t>
      </w:r>
    </w:p>
    <w:p w14:paraId="57624B08" w14:textId="77777777" w:rsidR="003D3B1B" w:rsidRPr="00077A67" w:rsidRDefault="003D3B1B">
      <w:pPr>
        <w:rPr>
          <w:rFonts w:ascii="Times New Roman" w:hAnsi="Times New Roman" w:cs="Times New Roman"/>
          <w:sz w:val="22"/>
          <w:szCs w:val="22"/>
        </w:rPr>
      </w:pPr>
    </w:p>
    <w:p w14:paraId="525AA86B" w14:textId="77777777" w:rsidR="00AB1293" w:rsidRPr="00077A67" w:rsidRDefault="00511DD4">
      <w:pPr>
        <w:rPr>
          <w:rFonts w:ascii="Times New Roman" w:hAnsi="Times New Roman" w:cs="Times New Roman"/>
          <w:b/>
          <w:bCs/>
          <w:sz w:val="22"/>
          <w:szCs w:val="22"/>
        </w:rPr>
      </w:pPr>
      <w:r w:rsidRPr="00077A67">
        <w:rPr>
          <w:rFonts w:ascii="Times New Roman" w:hAnsi="Times New Roman" w:cs="Times New Roman"/>
          <w:b/>
          <w:bCs/>
          <w:sz w:val="22"/>
          <w:szCs w:val="22"/>
        </w:rPr>
        <w:t>1.1. Antecedentes del programa:</w:t>
      </w:r>
    </w:p>
    <w:p w14:paraId="7AFBF9B1" w14:textId="77777777" w:rsidR="00AB1293" w:rsidRPr="00077A67" w:rsidRDefault="00AB1293">
      <w:pPr>
        <w:rPr>
          <w:rFonts w:ascii="Times New Roman" w:hAnsi="Times New Roman" w:cs="Times New Roman"/>
          <w:sz w:val="22"/>
          <w:szCs w:val="22"/>
        </w:rPr>
      </w:pPr>
    </w:p>
    <w:p w14:paraId="2FA6FFED" w14:textId="6C85C1F7" w:rsidR="009C39B6" w:rsidRPr="009C39B6" w:rsidRDefault="009C39B6" w:rsidP="009C39B6">
      <w:pPr>
        <w:overflowPunct w:val="0"/>
        <w:autoSpaceDE w:val="0"/>
        <w:autoSpaceDN w:val="0"/>
        <w:adjustRightInd w:val="0"/>
        <w:spacing w:line="283" w:lineRule="auto"/>
        <w:ind w:left="10"/>
        <w:jc w:val="both"/>
        <w:rPr>
          <w:rFonts w:ascii="Times New Roman" w:hAnsi="Times New Roman" w:cs="Times New Roman"/>
          <w:sz w:val="22"/>
          <w:szCs w:val="22"/>
        </w:rPr>
      </w:pPr>
      <w:r w:rsidRPr="009C39B6">
        <w:rPr>
          <w:rFonts w:ascii="Times New Roman" w:hAnsi="Times New Roman" w:cs="Times New Roman"/>
          <w:sz w:val="22"/>
          <w:szCs w:val="22"/>
        </w:rPr>
        <w:t xml:space="preserve">El Proyecto VIH-Costa Rica tiene como propósito primordial la institucionalización, articulación multisectorial y sostenibilidad de la prevención del VIH en hombres que tienen sexo con hombres (en adelante denominados HSH) y población </w:t>
      </w:r>
      <w:r w:rsidR="004D61BF">
        <w:rPr>
          <w:rFonts w:ascii="Times New Roman" w:hAnsi="Times New Roman" w:cs="Times New Roman"/>
          <w:sz w:val="22"/>
          <w:szCs w:val="22"/>
        </w:rPr>
        <w:t>de mujeres trans</w:t>
      </w:r>
      <w:r w:rsidRPr="009C39B6">
        <w:rPr>
          <w:rFonts w:ascii="Times New Roman" w:hAnsi="Times New Roman" w:cs="Times New Roman"/>
          <w:sz w:val="22"/>
          <w:szCs w:val="22"/>
        </w:rPr>
        <w:t xml:space="preserve">. La propuesta de Costa Rica busca trascender la visión de proyecto para establecer un modelo sostenible de prevención combinada para las personas HSH y </w:t>
      </w:r>
      <w:r w:rsidR="004D61BF">
        <w:rPr>
          <w:rFonts w:ascii="Times New Roman" w:hAnsi="Times New Roman" w:cs="Times New Roman"/>
          <w:sz w:val="22"/>
          <w:szCs w:val="22"/>
        </w:rPr>
        <w:t>mujeres trans</w:t>
      </w:r>
      <w:r w:rsidRPr="009C39B6">
        <w:rPr>
          <w:rFonts w:ascii="Times New Roman" w:hAnsi="Times New Roman" w:cs="Times New Roman"/>
          <w:sz w:val="22"/>
          <w:szCs w:val="22"/>
        </w:rPr>
        <w:t>, que permita contener la epidemia de VIH y eventualmente, reducir la prevalencia de esta infección.</w:t>
      </w:r>
    </w:p>
    <w:p w14:paraId="34B4EE0E" w14:textId="77777777" w:rsidR="009C39B6" w:rsidRPr="009C39B6" w:rsidRDefault="009C39B6" w:rsidP="009C39B6">
      <w:pPr>
        <w:autoSpaceDE w:val="0"/>
        <w:autoSpaceDN w:val="0"/>
        <w:adjustRightInd w:val="0"/>
        <w:spacing w:line="339" w:lineRule="exact"/>
        <w:rPr>
          <w:rFonts w:ascii="Times New Roman" w:hAnsi="Times New Roman" w:cs="Times New Roman"/>
          <w:sz w:val="22"/>
          <w:szCs w:val="22"/>
        </w:rPr>
      </w:pPr>
    </w:p>
    <w:p w14:paraId="1C1D6974" w14:textId="2CCA79C7" w:rsidR="009C39B6" w:rsidRPr="009C39B6" w:rsidRDefault="009C39B6" w:rsidP="009C39B6">
      <w:pPr>
        <w:overflowPunct w:val="0"/>
        <w:autoSpaceDE w:val="0"/>
        <w:autoSpaceDN w:val="0"/>
        <w:adjustRightInd w:val="0"/>
        <w:spacing w:line="256" w:lineRule="auto"/>
        <w:ind w:left="10"/>
        <w:jc w:val="both"/>
        <w:rPr>
          <w:rFonts w:ascii="Times New Roman" w:hAnsi="Times New Roman" w:cs="Times New Roman"/>
          <w:sz w:val="22"/>
          <w:szCs w:val="22"/>
        </w:rPr>
      </w:pPr>
      <w:r w:rsidRPr="009C39B6">
        <w:rPr>
          <w:rFonts w:ascii="Times New Roman" w:hAnsi="Times New Roman" w:cs="Times New Roman"/>
          <w:sz w:val="22"/>
          <w:szCs w:val="22"/>
        </w:rPr>
        <w:t>Este proyecto es financiado por medio de una subvención</w:t>
      </w:r>
      <w:r w:rsidR="004D61BF">
        <w:rPr>
          <w:rFonts w:ascii="Times New Roman" w:hAnsi="Times New Roman" w:cs="Times New Roman"/>
          <w:sz w:val="22"/>
          <w:szCs w:val="22"/>
        </w:rPr>
        <w:t xml:space="preserve"> del Fondo Mundial de Lucha contra el sida, la tuberculosis y la m</w:t>
      </w:r>
      <w:r w:rsidRPr="009C39B6">
        <w:rPr>
          <w:rFonts w:ascii="Times New Roman" w:hAnsi="Times New Roman" w:cs="Times New Roman"/>
          <w:sz w:val="22"/>
          <w:szCs w:val="22"/>
        </w:rPr>
        <w:t>alaria (en adelante denominado Fondo Mundial), con una duración de tres años</w:t>
      </w:r>
      <w:r w:rsidR="00E764C6">
        <w:rPr>
          <w:rFonts w:ascii="Times New Roman" w:hAnsi="Times New Roman" w:cs="Times New Roman"/>
          <w:sz w:val="22"/>
          <w:szCs w:val="22"/>
        </w:rPr>
        <w:t xml:space="preserve"> a partir del 1 de julio de 2018</w:t>
      </w:r>
      <w:r w:rsidRPr="009C39B6">
        <w:rPr>
          <w:rFonts w:ascii="Times New Roman" w:hAnsi="Times New Roman" w:cs="Times New Roman"/>
          <w:sz w:val="22"/>
          <w:szCs w:val="22"/>
        </w:rPr>
        <w:t>.</w:t>
      </w:r>
    </w:p>
    <w:p w14:paraId="2F633CDE" w14:textId="77777777" w:rsidR="009C39B6" w:rsidRPr="009C39B6" w:rsidRDefault="009C39B6" w:rsidP="009C39B6">
      <w:pPr>
        <w:autoSpaceDE w:val="0"/>
        <w:autoSpaceDN w:val="0"/>
        <w:adjustRightInd w:val="0"/>
        <w:spacing w:line="362" w:lineRule="exact"/>
        <w:rPr>
          <w:rFonts w:ascii="Times New Roman" w:hAnsi="Times New Roman" w:cs="Times New Roman"/>
          <w:sz w:val="22"/>
          <w:szCs w:val="22"/>
        </w:rPr>
      </w:pPr>
    </w:p>
    <w:p w14:paraId="0D22CD32" w14:textId="28993AF6" w:rsidR="009C39B6" w:rsidRPr="009C39B6"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r w:rsidRPr="009C39B6">
        <w:rPr>
          <w:rFonts w:ascii="Times New Roman" w:hAnsi="Times New Roman" w:cs="Times New Roman"/>
          <w:sz w:val="22"/>
          <w:szCs w:val="22"/>
        </w:rPr>
        <w:t>El proyecto es administrado por el Instituto Humanista para la Cooperación con los Países en Desarrollo (en adelante denominado Hivos). Hivos es una organización internacional y de carácter no gubernamental guiada por principios humanistas, que fue designada por el Mecanismo Coordinador de País de Costa Rica (en adelante denominado MCP</w:t>
      </w:r>
      <w:r w:rsidR="004D61BF">
        <w:rPr>
          <w:rFonts w:ascii="Times New Roman" w:hAnsi="Times New Roman" w:cs="Times New Roman"/>
          <w:sz w:val="22"/>
          <w:szCs w:val="22"/>
        </w:rPr>
        <w:t>-CR</w:t>
      </w:r>
      <w:r w:rsidRPr="009C39B6">
        <w:rPr>
          <w:rFonts w:ascii="Times New Roman" w:hAnsi="Times New Roman" w:cs="Times New Roman"/>
          <w:sz w:val="22"/>
          <w:szCs w:val="22"/>
        </w:rPr>
        <w:t>) y aceptada por el Fondo Mundial para actuar como Receptor Principal (en adelante denominado RP) de esta subvención. El papel del RP es realizar la administración técnica y financiera del proyecto. También debe garantizar al Fondo Mundial, en nombre del MCP de Costa Rica, el estricto cumplimiento de los indicadores técnicos contractuales contemplados en el proyecto, así como la transparente ejecución de los recursos financieros asignados al país.</w:t>
      </w:r>
    </w:p>
    <w:p w14:paraId="0B26A1A7" w14:textId="77777777" w:rsidR="009C39B6" w:rsidRPr="009C39B6" w:rsidRDefault="009C39B6" w:rsidP="009C39B6">
      <w:pPr>
        <w:autoSpaceDE w:val="0"/>
        <w:autoSpaceDN w:val="0"/>
        <w:adjustRightInd w:val="0"/>
        <w:spacing w:line="200" w:lineRule="exact"/>
        <w:rPr>
          <w:rFonts w:ascii="Times New Roman" w:hAnsi="Times New Roman" w:cs="Times New Roman"/>
          <w:sz w:val="22"/>
          <w:szCs w:val="22"/>
        </w:rPr>
      </w:pPr>
    </w:p>
    <w:p w14:paraId="641436C4" w14:textId="2A830DFF" w:rsidR="009C39B6" w:rsidRPr="009C39B6" w:rsidRDefault="009C39B6" w:rsidP="009C39B6">
      <w:pPr>
        <w:overflowPunct w:val="0"/>
        <w:autoSpaceDE w:val="0"/>
        <w:autoSpaceDN w:val="0"/>
        <w:adjustRightInd w:val="0"/>
        <w:spacing w:line="264" w:lineRule="auto"/>
        <w:ind w:left="10"/>
        <w:jc w:val="both"/>
        <w:rPr>
          <w:rFonts w:ascii="Times New Roman" w:hAnsi="Times New Roman" w:cs="Times New Roman"/>
          <w:sz w:val="22"/>
          <w:szCs w:val="22"/>
        </w:rPr>
      </w:pPr>
      <w:r w:rsidRPr="009C39B6">
        <w:rPr>
          <w:rFonts w:ascii="Times New Roman" w:hAnsi="Times New Roman" w:cs="Times New Roman"/>
          <w:sz w:val="22"/>
          <w:szCs w:val="22"/>
        </w:rPr>
        <w:t xml:space="preserve">El proyecto cuenta con tres actores fundamentales: personas HSH y </w:t>
      </w:r>
      <w:r w:rsidR="004D61BF">
        <w:rPr>
          <w:rFonts w:ascii="Times New Roman" w:hAnsi="Times New Roman" w:cs="Times New Roman"/>
          <w:sz w:val="22"/>
          <w:szCs w:val="22"/>
        </w:rPr>
        <w:t>mujeres trans</w:t>
      </w:r>
      <w:r w:rsidRPr="009C39B6">
        <w:rPr>
          <w:rFonts w:ascii="Times New Roman" w:hAnsi="Times New Roman" w:cs="Times New Roman"/>
          <w:sz w:val="22"/>
          <w:szCs w:val="22"/>
        </w:rPr>
        <w:t xml:space="preserve"> (según principio de mayor participación de ONUSIDA), las organizaciones de sociedad civil (en adelante denominadas OSC) y las instituciones estatales (en su rol de proveedoras de servicios y como responsables directas de las políticas sociales tendientes a reducir la pobreza, la marginación y la desigualdad de oportunidades).</w:t>
      </w:r>
    </w:p>
    <w:p w14:paraId="7685F8C2" w14:textId="77777777" w:rsidR="009C39B6" w:rsidRPr="009C39B6" w:rsidRDefault="009C39B6" w:rsidP="009C39B6">
      <w:pPr>
        <w:autoSpaceDE w:val="0"/>
        <w:autoSpaceDN w:val="0"/>
        <w:adjustRightInd w:val="0"/>
        <w:spacing w:line="354" w:lineRule="exact"/>
        <w:rPr>
          <w:rFonts w:ascii="Times New Roman" w:hAnsi="Times New Roman" w:cs="Times New Roman"/>
          <w:sz w:val="22"/>
          <w:szCs w:val="22"/>
        </w:rPr>
      </w:pPr>
    </w:p>
    <w:p w14:paraId="0CA5187A" w14:textId="5EF0BED6" w:rsidR="009C39B6" w:rsidRPr="009C39B6"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r w:rsidRPr="009C39B6">
        <w:rPr>
          <w:rFonts w:ascii="Times New Roman" w:hAnsi="Times New Roman" w:cs="Times New Roman"/>
          <w:sz w:val="22"/>
          <w:szCs w:val="22"/>
        </w:rPr>
        <w:t xml:space="preserve">Para la implementación del proyecto se ha previsto la contratación de OSC, denominadas Sub-Receptores (en adelante SR). Los SR son organizaciones que ejecutan actividades en-marcadas en el proyecto y que son elegidas en un proceso de selección realizado por el RP. Los SR son por lo tanto responsables de la correcta y eficiente administración de los fondos que le son transferidos por el RP. Los SR son también responsables de cumplir con </w:t>
      </w:r>
      <w:r w:rsidRPr="009C39B6">
        <w:rPr>
          <w:rFonts w:ascii="Times New Roman" w:hAnsi="Times New Roman" w:cs="Times New Roman"/>
          <w:sz w:val="22"/>
          <w:szCs w:val="22"/>
        </w:rPr>
        <w:lastRenderedPageBreak/>
        <w:t>los objetivos y resultados previstos en las actividades adjudicadas en el contrato suscrito con el RP. El</w:t>
      </w:r>
      <w:r w:rsidR="004D61BF">
        <w:rPr>
          <w:rFonts w:ascii="Times New Roman" w:hAnsi="Times New Roman" w:cs="Times New Roman"/>
          <w:sz w:val="22"/>
          <w:szCs w:val="22"/>
        </w:rPr>
        <w:t xml:space="preserve"> Proyecto VIH-Costa Rica cuenta con 4 SR. </w:t>
      </w:r>
    </w:p>
    <w:p w14:paraId="34A8A64F" w14:textId="77777777" w:rsidR="009C39B6" w:rsidRPr="009C39B6"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p>
    <w:p w14:paraId="4501020F" w14:textId="77777777" w:rsidR="009C39B6" w:rsidRPr="00E764C6" w:rsidRDefault="009C39B6" w:rsidP="009C39B6">
      <w:pPr>
        <w:pStyle w:val="Ttulo2"/>
        <w:spacing w:before="0" w:line="240" w:lineRule="auto"/>
        <w:rPr>
          <w:rFonts w:ascii="Times New Roman" w:eastAsia="Droid Sans Fallback" w:hAnsi="Times New Roman" w:cs="Times New Roman"/>
          <w:b/>
          <w:color w:val="auto"/>
          <w:sz w:val="22"/>
          <w:szCs w:val="22"/>
          <w:lang w:val="es-CR" w:eastAsia="zh-CN" w:bidi="hi-IN"/>
        </w:rPr>
      </w:pPr>
      <w:r w:rsidRPr="00E764C6">
        <w:rPr>
          <w:rFonts w:ascii="Times New Roman" w:eastAsia="Droid Sans Fallback" w:hAnsi="Times New Roman" w:cs="Times New Roman"/>
          <w:b/>
          <w:color w:val="auto"/>
          <w:sz w:val="22"/>
          <w:szCs w:val="22"/>
          <w:lang w:val="es-CR" w:eastAsia="zh-CN" w:bidi="hi-IN"/>
        </w:rPr>
        <w:t>Sobre el receptor principal</w:t>
      </w:r>
    </w:p>
    <w:p w14:paraId="52B8DFBA" w14:textId="77777777" w:rsidR="009C39B6" w:rsidRPr="009C39B6" w:rsidRDefault="009C39B6" w:rsidP="009C39B6">
      <w:pPr>
        <w:jc w:val="both"/>
        <w:rPr>
          <w:rFonts w:ascii="Times New Roman" w:hAnsi="Times New Roman" w:cs="Times New Roman"/>
          <w:sz w:val="22"/>
          <w:szCs w:val="22"/>
        </w:rPr>
      </w:pPr>
    </w:p>
    <w:p w14:paraId="196BBA17" w14:textId="77777777" w:rsidR="009C39B6" w:rsidRPr="009C39B6" w:rsidRDefault="009C39B6" w:rsidP="009C39B6">
      <w:pPr>
        <w:rPr>
          <w:rFonts w:ascii="Times New Roman" w:hAnsi="Times New Roman" w:cs="Times New Roman"/>
          <w:sz w:val="22"/>
          <w:szCs w:val="22"/>
        </w:rPr>
      </w:pPr>
      <w:r w:rsidRPr="009C39B6">
        <w:rPr>
          <w:rFonts w:ascii="Times New Roman" w:hAnsi="Times New Roman" w:cs="Times New Roman"/>
          <w:sz w:val="22"/>
          <w:szCs w:val="22"/>
        </w:rPr>
        <w:t>El Receptor Principal (RP), en este caso Hivos, fue designado por el MCP-CR para que en su nombre firmará un acuerdo de subvención para el país con el Fondo Mundial, siendo las principales funciones de Hivos como RP:</w:t>
      </w:r>
    </w:p>
    <w:p w14:paraId="54CEBDD3" w14:textId="77777777" w:rsidR="009C39B6" w:rsidRPr="009C39B6" w:rsidRDefault="009C39B6" w:rsidP="009C39B6">
      <w:pPr>
        <w:rPr>
          <w:rFonts w:ascii="Times New Roman" w:hAnsi="Times New Roman" w:cs="Times New Roman"/>
          <w:sz w:val="22"/>
          <w:szCs w:val="22"/>
        </w:rPr>
      </w:pPr>
    </w:p>
    <w:p w14:paraId="1A552DB5"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Firmar el convenio con el Fondo Mundial.</w:t>
      </w:r>
    </w:p>
    <w:p w14:paraId="50C73B5D"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Recibir y administrar los recursos financieros.</w:t>
      </w:r>
    </w:p>
    <w:p w14:paraId="063D4AFC"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Ser responsable de la ejecución técnica, administrativa, financiera y del cumplimiento de los objetivos y metas de la propuesta del país y de los planes operativos aprobados por el Fondo Mundial.</w:t>
      </w:r>
    </w:p>
    <w:p w14:paraId="7872641C" w14:textId="7FB4C068"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Mantener periódicamente informado al MCP</w:t>
      </w:r>
      <w:r w:rsidR="004D61BF">
        <w:rPr>
          <w:rFonts w:ascii="Times New Roman" w:hAnsi="Times New Roman" w:cs="Times New Roman"/>
          <w:sz w:val="22"/>
          <w:szCs w:val="22"/>
        </w:rPr>
        <w:t>-CR</w:t>
      </w:r>
      <w:r w:rsidRPr="009C39B6">
        <w:rPr>
          <w:rFonts w:ascii="Times New Roman" w:hAnsi="Times New Roman" w:cs="Times New Roman"/>
          <w:sz w:val="22"/>
          <w:szCs w:val="22"/>
        </w:rPr>
        <w:t xml:space="preserve"> sobre la ejecución programática y financiera.</w:t>
      </w:r>
    </w:p>
    <w:p w14:paraId="577779B6"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Realizar el proceso establecido para la elección de los Sub-receptores, como ejecutores de las diferentes actividades en el país.</w:t>
      </w:r>
    </w:p>
    <w:p w14:paraId="1D85188E"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Colaborar plenamente con el Agente Local del Fondo para que éste pueda cumplir con sus funciones.</w:t>
      </w:r>
    </w:p>
    <w:p w14:paraId="160BC679" w14:textId="77777777" w:rsidR="009C39B6" w:rsidRPr="009C39B6" w:rsidRDefault="009C39B6" w:rsidP="009C39B6">
      <w:pPr>
        <w:numPr>
          <w:ilvl w:val="0"/>
          <w:numId w:val="10"/>
        </w:numPr>
        <w:overflowPunct w:val="0"/>
        <w:rPr>
          <w:rFonts w:ascii="Times New Roman" w:hAnsi="Times New Roman" w:cs="Times New Roman"/>
          <w:sz w:val="22"/>
          <w:szCs w:val="22"/>
        </w:rPr>
      </w:pPr>
      <w:r w:rsidRPr="009C39B6">
        <w:rPr>
          <w:rFonts w:ascii="Times New Roman" w:hAnsi="Times New Roman" w:cs="Times New Roman"/>
          <w:sz w:val="22"/>
          <w:szCs w:val="22"/>
        </w:rPr>
        <w:t>Cumplir con todas las funciones previstas y enunciadas en el convenio suscrito con el Fondo Mundial.</w:t>
      </w:r>
    </w:p>
    <w:p w14:paraId="5CC9BCFD" w14:textId="77777777" w:rsidR="009C39B6" w:rsidRPr="009C39B6" w:rsidRDefault="009C39B6" w:rsidP="009C39B6">
      <w:pPr>
        <w:jc w:val="both"/>
        <w:rPr>
          <w:rFonts w:ascii="Times New Roman" w:hAnsi="Times New Roman" w:cs="Times New Roman"/>
          <w:sz w:val="22"/>
          <w:szCs w:val="22"/>
        </w:rPr>
      </w:pPr>
    </w:p>
    <w:p w14:paraId="4264161E" w14:textId="77777777" w:rsidR="009C39B6" w:rsidRPr="00E764C6" w:rsidRDefault="009C39B6" w:rsidP="009C39B6">
      <w:pPr>
        <w:pStyle w:val="Ttulo2"/>
        <w:spacing w:before="0" w:line="240" w:lineRule="auto"/>
        <w:rPr>
          <w:rFonts w:ascii="Times New Roman" w:eastAsia="Droid Sans Fallback" w:hAnsi="Times New Roman" w:cs="Times New Roman"/>
          <w:b/>
          <w:color w:val="auto"/>
          <w:sz w:val="22"/>
          <w:szCs w:val="22"/>
          <w:lang w:val="es-CR" w:eastAsia="zh-CN" w:bidi="hi-IN"/>
        </w:rPr>
      </w:pPr>
      <w:r w:rsidRPr="00E764C6">
        <w:rPr>
          <w:rFonts w:ascii="Times New Roman" w:eastAsia="Droid Sans Fallback" w:hAnsi="Times New Roman" w:cs="Times New Roman"/>
          <w:b/>
          <w:color w:val="auto"/>
          <w:sz w:val="22"/>
          <w:szCs w:val="22"/>
          <w:lang w:val="es-CR" w:eastAsia="zh-CN" w:bidi="hi-IN"/>
        </w:rPr>
        <w:t>Sobre los Sub-receptores</w:t>
      </w:r>
    </w:p>
    <w:p w14:paraId="14B15F6F" w14:textId="77777777" w:rsidR="009C39B6" w:rsidRPr="009C39B6" w:rsidRDefault="009C39B6" w:rsidP="009C39B6">
      <w:pPr>
        <w:jc w:val="both"/>
        <w:rPr>
          <w:rFonts w:ascii="Times New Roman" w:hAnsi="Times New Roman" w:cs="Times New Roman"/>
          <w:sz w:val="22"/>
          <w:szCs w:val="22"/>
        </w:rPr>
      </w:pPr>
    </w:p>
    <w:p w14:paraId="73A6D354" w14:textId="77777777" w:rsidR="009C39B6" w:rsidRPr="009C39B6" w:rsidRDefault="009C39B6" w:rsidP="009C39B6">
      <w:pPr>
        <w:jc w:val="both"/>
        <w:rPr>
          <w:rFonts w:ascii="Times New Roman" w:hAnsi="Times New Roman" w:cs="Times New Roman"/>
          <w:sz w:val="22"/>
          <w:szCs w:val="22"/>
        </w:rPr>
      </w:pPr>
      <w:r w:rsidRPr="009C39B6">
        <w:rPr>
          <w:rFonts w:ascii="Times New Roman" w:hAnsi="Times New Roman" w:cs="Times New Roman"/>
          <w:sz w:val="22"/>
          <w:szCs w:val="22"/>
        </w:rPr>
        <w:t>El Sub-Receptor (SR), es la institución u organización que ejecuta proyectos enmarcados en la subvención aprobada por el Fondo Mundial y elegido de un proceso de selección realizado por el RP. Por este carácter es el directo responsable de la correcta y eficiente administración de los fondos que le son transferidos por el RP después de haber sido evaluada su capacidad, fortalezas y probable riesgo como Sub-Receptor y firmado un convenio con el RP. Es responsable de cumplir con los objetivos y resultados previstos de las intervenciones y actividades del proyecto que le han sido adjudicados, todos basados en la propuesta presentada por el Sub-Receptor seleccionado y el contrato suscrito con el Receptor Principal.</w:t>
      </w:r>
    </w:p>
    <w:p w14:paraId="62062B95" w14:textId="77777777" w:rsidR="009C39B6" w:rsidRPr="009C39B6"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p>
    <w:p w14:paraId="21C2ECE4" w14:textId="77777777" w:rsidR="009C39B6" w:rsidRPr="009C39B6"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p>
    <w:p w14:paraId="4E06A0AC" w14:textId="3CB9A549" w:rsidR="009C39B6" w:rsidRPr="00E764C6" w:rsidRDefault="00EA667B" w:rsidP="00EA667B">
      <w:pPr>
        <w:suppressAutoHyphens w:val="0"/>
        <w:overflowPunct w:val="0"/>
        <w:autoSpaceDE w:val="0"/>
        <w:autoSpaceDN w:val="0"/>
        <w:adjustRightInd w:val="0"/>
        <w:jc w:val="both"/>
        <w:rPr>
          <w:rFonts w:ascii="Times New Roman" w:hAnsi="Times New Roman" w:cs="Times New Roman"/>
          <w:b/>
          <w:sz w:val="22"/>
          <w:szCs w:val="22"/>
        </w:rPr>
      </w:pPr>
      <w:r>
        <w:rPr>
          <w:rFonts w:ascii="Times New Roman" w:hAnsi="Times New Roman" w:cs="Times New Roman"/>
          <w:b/>
          <w:sz w:val="22"/>
          <w:szCs w:val="22"/>
        </w:rPr>
        <w:t xml:space="preserve">1.1.1 </w:t>
      </w:r>
      <w:r w:rsidR="009C39B6" w:rsidRPr="00E764C6">
        <w:rPr>
          <w:rFonts w:ascii="Times New Roman" w:hAnsi="Times New Roman" w:cs="Times New Roman"/>
          <w:b/>
          <w:sz w:val="22"/>
          <w:szCs w:val="22"/>
        </w:rPr>
        <w:t xml:space="preserve">Aspectos Centrales del Proyecto VIH-Costa Rica: </w:t>
      </w:r>
    </w:p>
    <w:p w14:paraId="6F4EC903" w14:textId="77777777" w:rsidR="009C39B6" w:rsidRPr="009C39B6" w:rsidRDefault="009C39B6" w:rsidP="009C39B6">
      <w:pPr>
        <w:autoSpaceDE w:val="0"/>
        <w:autoSpaceDN w:val="0"/>
        <w:adjustRightInd w:val="0"/>
        <w:spacing w:line="200" w:lineRule="exact"/>
        <w:rPr>
          <w:rFonts w:ascii="Times New Roman" w:hAnsi="Times New Roman" w:cs="Times New Roman"/>
          <w:sz w:val="22"/>
          <w:szCs w:val="22"/>
        </w:rPr>
      </w:pPr>
    </w:p>
    <w:p w14:paraId="737BD081" w14:textId="43B5C2A9" w:rsidR="009C39B6" w:rsidRPr="009C39B6" w:rsidRDefault="009C39B6" w:rsidP="009C39B6">
      <w:pPr>
        <w:overflowPunct w:val="0"/>
        <w:autoSpaceDE w:val="0"/>
        <w:autoSpaceDN w:val="0"/>
        <w:adjustRightInd w:val="0"/>
        <w:spacing w:line="256" w:lineRule="auto"/>
        <w:ind w:left="10"/>
        <w:jc w:val="both"/>
        <w:rPr>
          <w:rFonts w:ascii="Times New Roman" w:hAnsi="Times New Roman" w:cs="Times New Roman"/>
          <w:sz w:val="22"/>
          <w:szCs w:val="22"/>
        </w:rPr>
      </w:pPr>
      <w:r w:rsidRPr="009C39B6">
        <w:rPr>
          <w:rFonts w:ascii="Times New Roman" w:hAnsi="Times New Roman" w:cs="Times New Roman"/>
          <w:sz w:val="22"/>
          <w:szCs w:val="22"/>
        </w:rPr>
        <w:t>A continuación</w:t>
      </w:r>
      <w:r w:rsidR="007E0D24">
        <w:rPr>
          <w:rFonts w:ascii="Times New Roman" w:hAnsi="Times New Roman" w:cs="Times New Roman"/>
          <w:sz w:val="22"/>
          <w:szCs w:val="22"/>
        </w:rPr>
        <w:t>,</w:t>
      </w:r>
      <w:r w:rsidRPr="009C39B6">
        <w:rPr>
          <w:rFonts w:ascii="Times New Roman" w:hAnsi="Times New Roman" w:cs="Times New Roman"/>
          <w:sz w:val="22"/>
          <w:szCs w:val="22"/>
        </w:rPr>
        <w:t xml:space="preserve"> se detallan las premisas, meta y objetivo tal como aparecen en la Nota Conceptual presentada al Fondo Mundial. Para una versión completa de la Nota Conceptual refiérase a los documentos anexos.</w:t>
      </w:r>
    </w:p>
    <w:p w14:paraId="6FFAEC7B" w14:textId="77777777" w:rsidR="009C39B6" w:rsidRPr="009C39B6" w:rsidRDefault="009C39B6" w:rsidP="009C39B6">
      <w:pPr>
        <w:autoSpaceDE w:val="0"/>
        <w:autoSpaceDN w:val="0"/>
        <w:adjustRightInd w:val="0"/>
        <w:spacing w:line="298" w:lineRule="exact"/>
        <w:rPr>
          <w:rFonts w:ascii="Times New Roman" w:hAnsi="Times New Roman" w:cs="Times New Roman"/>
          <w:sz w:val="22"/>
          <w:szCs w:val="22"/>
        </w:rPr>
      </w:pPr>
    </w:p>
    <w:p w14:paraId="084F2233" w14:textId="77777777" w:rsidR="009C39B6" w:rsidRPr="00E764C6" w:rsidRDefault="009C39B6" w:rsidP="009C39B6">
      <w:pPr>
        <w:numPr>
          <w:ilvl w:val="0"/>
          <w:numId w:val="6"/>
        </w:numPr>
        <w:tabs>
          <w:tab w:val="num" w:pos="370"/>
        </w:tabs>
        <w:suppressAutoHyphens w:val="0"/>
        <w:overflowPunct w:val="0"/>
        <w:autoSpaceDE w:val="0"/>
        <w:autoSpaceDN w:val="0"/>
        <w:adjustRightInd w:val="0"/>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 xml:space="preserve">Premisas: </w:t>
      </w:r>
    </w:p>
    <w:p w14:paraId="5EDFA736" w14:textId="77777777" w:rsidR="009C39B6" w:rsidRPr="009C39B6" w:rsidRDefault="009C39B6" w:rsidP="009C39B6">
      <w:pPr>
        <w:autoSpaceDE w:val="0"/>
        <w:autoSpaceDN w:val="0"/>
        <w:adjustRightInd w:val="0"/>
        <w:spacing w:line="333" w:lineRule="exact"/>
        <w:rPr>
          <w:rFonts w:ascii="Times New Roman" w:hAnsi="Times New Roman" w:cs="Times New Roman"/>
          <w:sz w:val="22"/>
          <w:szCs w:val="22"/>
        </w:rPr>
      </w:pPr>
    </w:p>
    <w:p w14:paraId="451EB4A8" w14:textId="77777777" w:rsidR="009C39B6" w:rsidRPr="009C39B6" w:rsidRDefault="009C39B6" w:rsidP="009C39B6">
      <w:pPr>
        <w:autoSpaceDE w:val="0"/>
        <w:autoSpaceDN w:val="0"/>
        <w:adjustRightInd w:val="0"/>
        <w:ind w:left="10"/>
        <w:rPr>
          <w:rFonts w:ascii="Times New Roman" w:hAnsi="Times New Roman" w:cs="Times New Roman"/>
          <w:sz w:val="22"/>
          <w:szCs w:val="22"/>
        </w:rPr>
      </w:pPr>
      <w:r w:rsidRPr="009C39B6">
        <w:rPr>
          <w:rFonts w:ascii="Times New Roman" w:hAnsi="Times New Roman" w:cs="Times New Roman"/>
          <w:sz w:val="22"/>
          <w:szCs w:val="22"/>
        </w:rPr>
        <w:t>Premisa 1:</w:t>
      </w:r>
    </w:p>
    <w:p w14:paraId="46057C67" w14:textId="77777777" w:rsidR="009C39B6" w:rsidRPr="009C39B6" w:rsidRDefault="009C39B6" w:rsidP="009C39B6">
      <w:pPr>
        <w:autoSpaceDE w:val="0"/>
        <w:autoSpaceDN w:val="0"/>
        <w:adjustRightInd w:val="0"/>
        <w:spacing w:line="85" w:lineRule="exact"/>
        <w:rPr>
          <w:rFonts w:ascii="Times New Roman" w:hAnsi="Times New Roman" w:cs="Times New Roman"/>
          <w:sz w:val="22"/>
          <w:szCs w:val="22"/>
        </w:rPr>
      </w:pPr>
    </w:p>
    <w:p w14:paraId="5B82606C" w14:textId="71E72A92" w:rsidR="009C39B6" w:rsidRPr="009C39B6" w:rsidRDefault="009C39B6" w:rsidP="009C39B6">
      <w:pPr>
        <w:overflowPunct w:val="0"/>
        <w:autoSpaceDE w:val="0"/>
        <w:autoSpaceDN w:val="0"/>
        <w:adjustRightInd w:val="0"/>
        <w:spacing w:line="267" w:lineRule="auto"/>
        <w:ind w:left="10"/>
        <w:jc w:val="both"/>
        <w:rPr>
          <w:rFonts w:ascii="Times New Roman" w:hAnsi="Times New Roman" w:cs="Times New Roman"/>
          <w:sz w:val="22"/>
          <w:szCs w:val="22"/>
        </w:rPr>
      </w:pPr>
      <w:r w:rsidRPr="009C39B6">
        <w:rPr>
          <w:rFonts w:ascii="Times New Roman" w:hAnsi="Times New Roman" w:cs="Times New Roman"/>
          <w:sz w:val="22"/>
          <w:szCs w:val="22"/>
        </w:rPr>
        <w:t xml:space="preserve">La epidemia está concentrada en poblaciones clave (HSH y </w:t>
      </w:r>
      <w:r w:rsidR="00C1185E">
        <w:rPr>
          <w:rFonts w:ascii="Times New Roman" w:hAnsi="Times New Roman" w:cs="Times New Roman"/>
          <w:sz w:val="22"/>
          <w:szCs w:val="22"/>
        </w:rPr>
        <w:t>mujeres trans</w:t>
      </w:r>
      <w:r w:rsidRPr="009C39B6">
        <w:rPr>
          <w:rFonts w:ascii="Times New Roman" w:hAnsi="Times New Roman" w:cs="Times New Roman"/>
          <w:sz w:val="22"/>
          <w:szCs w:val="22"/>
        </w:rPr>
        <w:t>) que han sido estigmatizadas. Por tanto, la respuesta a la misma debe responder al tipo de epidemia re-conociendo las necesidades de estas poblaciones. Esto implica buscar soluciones innovado-ras que permitan dar un salto cualitativo y cuantitativo para llegar a dichas poblaciones y contener la epidemia en Costa Rica.</w:t>
      </w:r>
    </w:p>
    <w:p w14:paraId="33B9E361" w14:textId="77777777" w:rsidR="009C39B6" w:rsidRPr="009C39B6" w:rsidRDefault="009C39B6" w:rsidP="009C39B6">
      <w:pPr>
        <w:autoSpaceDE w:val="0"/>
        <w:autoSpaceDN w:val="0"/>
        <w:adjustRightInd w:val="0"/>
        <w:spacing w:line="305" w:lineRule="exact"/>
        <w:rPr>
          <w:rFonts w:ascii="Times New Roman" w:hAnsi="Times New Roman" w:cs="Times New Roman"/>
          <w:sz w:val="22"/>
          <w:szCs w:val="22"/>
        </w:rPr>
      </w:pPr>
    </w:p>
    <w:p w14:paraId="7D54D966" w14:textId="77777777" w:rsidR="009C39B6" w:rsidRPr="00E764C6" w:rsidRDefault="009C39B6" w:rsidP="00E764C6">
      <w:pPr>
        <w:numPr>
          <w:ilvl w:val="0"/>
          <w:numId w:val="6"/>
        </w:numPr>
        <w:tabs>
          <w:tab w:val="num" w:pos="370"/>
        </w:tabs>
        <w:suppressAutoHyphens w:val="0"/>
        <w:overflowPunct w:val="0"/>
        <w:autoSpaceDE w:val="0"/>
        <w:autoSpaceDN w:val="0"/>
        <w:adjustRightInd w:val="0"/>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Premisa 2:</w:t>
      </w:r>
    </w:p>
    <w:p w14:paraId="3B25241A" w14:textId="77777777" w:rsidR="009C39B6" w:rsidRPr="009C39B6" w:rsidRDefault="009C39B6" w:rsidP="009C39B6">
      <w:pPr>
        <w:autoSpaceDE w:val="0"/>
        <w:autoSpaceDN w:val="0"/>
        <w:adjustRightInd w:val="0"/>
        <w:spacing w:line="85" w:lineRule="exact"/>
        <w:rPr>
          <w:rFonts w:ascii="Times New Roman" w:hAnsi="Times New Roman" w:cs="Times New Roman"/>
          <w:sz w:val="22"/>
          <w:szCs w:val="22"/>
        </w:rPr>
      </w:pPr>
    </w:p>
    <w:p w14:paraId="1AE6D1A3" w14:textId="77777777" w:rsidR="009C39B6" w:rsidRPr="009C39B6" w:rsidRDefault="009C39B6" w:rsidP="009C39B6">
      <w:pPr>
        <w:overflowPunct w:val="0"/>
        <w:autoSpaceDE w:val="0"/>
        <w:autoSpaceDN w:val="0"/>
        <w:adjustRightInd w:val="0"/>
        <w:spacing w:line="237" w:lineRule="auto"/>
        <w:ind w:left="10"/>
        <w:jc w:val="both"/>
        <w:rPr>
          <w:rFonts w:ascii="Times New Roman" w:hAnsi="Times New Roman" w:cs="Times New Roman"/>
          <w:sz w:val="22"/>
          <w:szCs w:val="22"/>
        </w:rPr>
      </w:pPr>
      <w:r w:rsidRPr="009C39B6">
        <w:rPr>
          <w:rFonts w:ascii="Times New Roman" w:hAnsi="Times New Roman" w:cs="Times New Roman"/>
          <w:sz w:val="22"/>
          <w:szCs w:val="22"/>
        </w:rPr>
        <w:t>Contar con el inmediato acceso a la prueba es fundamental para garantizar la expansión en cobertura de la prueba para el diagnóstico temprano en poblaciones clave.</w:t>
      </w:r>
    </w:p>
    <w:p w14:paraId="24052C0A" w14:textId="77777777" w:rsidR="009C39B6" w:rsidRPr="009C39B6" w:rsidRDefault="009C39B6" w:rsidP="009C39B6">
      <w:pPr>
        <w:autoSpaceDE w:val="0"/>
        <w:autoSpaceDN w:val="0"/>
        <w:adjustRightInd w:val="0"/>
        <w:spacing w:line="332" w:lineRule="exact"/>
        <w:rPr>
          <w:rFonts w:ascii="Times New Roman" w:hAnsi="Times New Roman" w:cs="Times New Roman"/>
          <w:sz w:val="22"/>
          <w:szCs w:val="22"/>
        </w:rPr>
      </w:pPr>
    </w:p>
    <w:p w14:paraId="75773C98" w14:textId="77777777" w:rsidR="009C39B6" w:rsidRPr="00E764C6" w:rsidRDefault="009C39B6" w:rsidP="00E764C6">
      <w:pPr>
        <w:numPr>
          <w:ilvl w:val="0"/>
          <w:numId w:val="6"/>
        </w:numPr>
        <w:tabs>
          <w:tab w:val="num" w:pos="370"/>
        </w:tabs>
        <w:suppressAutoHyphens w:val="0"/>
        <w:overflowPunct w:val="0"/>
        <w:autoSpaceDE w:val="0"/>
        <w:autoSpaceDN w:val="0"/>
        <w:adjustRightInd w:val="0"/>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Premisa 3:</w:t>
      </w:r>
    </w:p>
    <w:p w14:paraId="7A5C7F90" w14:textId="77777777" w:rsidR="009C39B6" w:rsidRPr="009C39B6" w:rsidRDefault="009C39B6" w:rsidP="009C39B6">
      <w:pPr>
        <w:autoSpaceDE w:val="0"/>
        <w:autoSpaceDN w:val="0"/>
        <w:adjustRightInd w:val="0"/>
        <w:spacing w:line="85" w:lineRule="exact"/>
        <w:rPr>
          <w:rFonts w:ascii="Times New Roman" w:hAnsi="Times New Roman" w:cs="Times New Roman"/>
          <w:sz w:val="22"/>
          <w:szCs w:val="22"/>
        </w:rPr>
      </w:pPr>
    </w:p>
    <w:p w14:paraId="4996AA54" w14:textId="77777777" w:rsidR="009C39B6" w:rsidRPr="009C39B6" w:rsidRDefault="009C39B6" w:rsidP="009C39B6">
      <w:pPr>
        <w:overflowPunct w:val="0"/>
        <w:autoSpaceDE w:val="0"/>
        <w:autoSpaceDN w:val="0"/>
        <w:adjustRightInd w:val="0"/>
        <w:spacing w:line="237" w:lineRule="auto"/>
        <w:ind w:left="10"/>
        <w:jc w:val="both"/>
        <w:rPr>
          <w:rFonts w:ascii="Times New Roman" w:hAnsi="Times New Roman" w:cs="Times New Roman"/>
          <w:sz w:val="22"/>
          <w:szCs w:val="22"/>
        </w:rPr>
      </w:pPr>
      <w:r w:rsidRPr="009C39B6">
        <w:rPr>
          <w:rFonts w:ascii="Times New Roman" w:hAnsi="Times New Roman" w:cs="Times New Roman"/>
          <w:sz w:val="22"/>
          <w:szCs w:val="22"/>
        </w:rPr>
        <w:t xml:space="preserve">Por un tema de acceso universal y por salud pública, en el marco del proyecto no debe restringirse el acceso a la </w:t>
      </w:r>
      <w:r w:rsidRPr="009C39B6">
        <w:rPr>
          <w:rFonts w:ascii="Times New Roman" w:hAnsi="Times New Roman" w:cs="Times New Roman"/>
          <w:sz w:val="22"/>
          <w:szCs w:val="22"/>
        </w:rPr>
        <w:lastRenderedPageBreak/>
        <w:t>prueba y al tratamiento para personas no documentadas.</w:t>
      </w:r>
    </w:p>
    <w:p w14:paraId="791ADF4E" w14:textId="77777777" w:rsidR="00C1185E" w:rsidRPr="009C39B6" w:rsidRDefault="00C1185E" w:rsidP="009C39B6">
      <w:pPr>
        <w:overflowPunct w:val="0"/>
        <w:autoSpaceDE w:val="0"/>
        <w:autoSpaceDN w:val="0"/>
        <w:adjustRightInd w:val="0"/>
        <w:spacing w:line="286" w:lineRule="auto"/>
        <w:jc w:val="both"/>
        <w:rPr>
          <w:rFonts w:ascii="Times New Roman" w:hAnsi="Times New Roman" w:cs="Times New Roman"/>
          <w:sz w:val="22"/>
          <w:szCs w:val="22"/>
        </w:rPr>
      </w:pPr>
    </w:p>
    <w:p w14:paraId="172B99E4" w14:textId="77777777" w:rsidR="00C1185E" w:rsidRDefault="009C39B6" w:rsidP="00C1185E">
      <w:pPr>
        <w:numPr>
          <w:ilvl w:val="0"/>
          <w:numId w:val="6"/>
        </w:numPr>
        <w:tabs>
          <w:tab w:val="num" w:pos="370"/>
        </w:tabs>
        <w:suppressAutoHyphens w:val="0"/>
        <w:overflowPunct w:val="0"/>
        <w:autoSpaceDE w:val="0"/>
        <w:autoSpaceDN w:val="0"/>
        <w:adjustRightInd w:val="0"/>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 xml:space="preserve">Meta: </w:t>
      </w:r>
    </w:p>
    <w:p w14:paraId="7C7C4069" w14:textId="49E95340" w:rsidR="00C1185E" w:rsidRPr="00C1185E" w:rsidRDefault="00C1185E" w:rsidP="00C1185E">
      <w:pPr>
        <w:suppressAutoHyphens w:val="0"/>
        <w:overflowPunct w:val="0"/>
        <w:autoSpaceDE w:val="0"/>
        <w:autoSpaceDN w:val="0"/>
        <w:adjustRightInd w:val="0"/>
        <w:ind w:left="12"/>
        <w:jc w:val="both"/>
        <w:rPr>
          <w:rFonts w:ascii="Times New Roman" w:hAnsi="Times New Roman" w:cs="Times New Roman"/>
          <w:b/>
          <w:sz w:val="22"/>
          <w:szCs w:val="22"/>
        </w:rPr>
      </w:pPr>
      <w:r w:rsidRPr="00C1185E">
        <w:rPr>
          <w:rFonts w:ascii="Times New Roman" w:hAnsi="Times New Roman" w:cs="Times New Roman"/>
          <w:sz w:val="22"/>
          <w:szCs w:val="22"/>
          <w:lang w:val="es-MX"/>
        </w:rPr>
        <w:t>Reducir la mortalidad relacionada con el SIDA a 2.5 por cada 100.000 habitantes.</w:t>
      </w:r>
    </w:p>
    <w:p w14:paraId="2CB3A20B" w14:textId="77777777" w:rsidR="009C39B6" w:rsidRPr="009C39B6" w:rsidRDefault="009C39B6" w:rsidP="009C39B6">
      <w:pPr>
        <w:autoSpaceDE w:val="0"/>
        <w:autoSpaceDN w:val="0"/>
        <w:adjustRightInd w:val="0"/>
        <w:spacing w:line="317" w:lineRule="exact"/>
        <w:rPr>
          <w:rFonts w:ascii="Times New Roman" w:hAnsi="Times New Roman" w:cs="Times New Roman"/>
          <w:sz w:val="22"/>
          <w:szCs w:val="22"/>
        </w:rPr>
      </w:pPr>
    </w:p>
    <w:p w14:paraId="73808ABD" w14:textId="5B617A78" w:rsidR="00C1185E" w:rsidRDefault="009C39B6" w:rsidP="00C1185E">
      <w:pPr>
        <w:numPr>
          <w:ilvl w:val="0"/>
          <w:numId w:val="8"/>
        </w:numPr>
        <w:tabs>
          <w:tab w:val="clear" w:pos="720"/>
          <w:tab w:val="num" w:pos="370"/>
        </w:tabs>
        <w:suppressAutoHyphens w:val="0"/>
        <w:overflowPunct w:val="0"/>
        <w:autoSpaceDE w:val="0"/>
        <w:autoSpaceDN w:val="0"/>
        <w:adjustRightInd w:val="0"/>
        <w:spacing w:line="239" w:lineRule="auto"/>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 xml:space="preserve">Objetivo general: </w:t>
      </w:r>
    </w:p>
    <w:p w14:paraId="45A43CB6" w14:textId="77777777" w:rsidR="00C1185E" w:rsidRPr="00C1185E" w:rsidRDefault="00C1185E" w:rsidP="00C1185E">
      <w:pPr>
        <w:suppressAutoHyphens w:val="0"/>
        <w:overflowPunct w:val="0"/>
        <w:autoSpaceDE w:val="0"/>
        <w:autoSpaceDN w:val="0"/>
        <w:adjustRightInd w:val="0"/>
        <w:spacing w:line="239" w:lineRule="auto"/>
        <w:ind w:left="370"/>
        <w:jc w:val="both"/>
        <w:rPr>
          <w:rFonts w:ascii="Times New Roman" w:hAnsi="Times New Roman" w:cs="Times New Roman"/>
          <w:b/>
          <w:sz w:val="22"/>
          <w:szCs w:val="22"/>
        </w:rPr>
      </w:pPr>
    </w:p>
    <w:p w14:paraId="260BA0F7" w14:textId="63A50A53" w:rsidR="00C1185E" w:rsidRPr="009C39B6" w:rsidRDefault="00C1185E" w:rsidP="009C39B6">
      <w:pPr>
        <w:autoSpaceDE w:val="0"/>
        <w:autoSpaceDN w:val="0"/>
        <w:adjustRightInd w:val="0"/>
        <w:spacing w:line="239" w:lineRule="auto"/>
        <w:ind w:left="10"/>
        <w:rPr>
          <w:rFonts w:ascii="Times New Roman" w:hAnsi="Times New Roman" w:cs="Times New Roman"/>
          <w:sz w:val="22"/>
          <w:szCs w:val="22"/>
        </w:rPr>
      </w:pPr>
      <w:r>
        <w:rPr>
          <w:rFonts w:ascii="Times New Roman" w:hAnsi="Times New Roman" w:cs="Times New Roman"/>
          <w:sz w:val="22"/>
          <w:szCs w:val="22"/>
        </w:rPr>
        <w:t>A</w:t>
      </w:r>
      <w:r w:rsidRPr="00C1185E">
        <w:rPr>
          <w:rFonts w:ascii="Times New Roman" w:hAnsi="Times New Roman" w:cs="Times New Roman"/>
          <w:sz w:val="22"/>
          <w:szCs w:val="22"/>
        </w:rPr>
        <w:t>segurar el incremento del financiamiento doméstico en VIH y la sostenibilidad del modelo de prevención combinada como parte de la cascada de atención de VIH para hombres que tienen sexo con hombres y mujeres trans en concordancia con el Plan Estratégico Nacional 2016-2021</w:t>
      </w:r>
    </w:p>
    <w:p w14:paraId="7498B941" w14:textId="77777777" w:rsidR="009C39B6" w:rsidRPr="009C39B6" w:rsidRDefault="009C39B6" w:rsidP="009C39B6">
      <w:pPr>
        <w:autoSpaceDE w:val="0"/>
        <w:autoSpaceDN w:val="0"/>
        <w:adjustRightInd w:val="0"/>
        <w:spacing w:line="239" w:lineRule="auto"/>
        <w:ind w:left="10"/>
        <w:rPr>
          <w:rFonts w:ascii="Times New Roman" w:hAnsi="Times New Roman" w:cs="Times New Roman"/>
          <w:sz w:val="22"/>
          <w:szCs w:val="22"/>
        </w:rPr>
      </w:pPr>
    </w:p>
    <w:p w14:paraId="2207EFAC" w14:textId="77777777" w:rsidR="009C39B6" w:rsidRPr="009C39B6" w:rsidRDefault="009C39B6" w:rsidP="009C39B6">
      <w:pPr>
        <w:autoSpaceDE w:val="0"/>
        <w:autoSpaceDN w:val="0"/>
        <w:adjustRightInd w:val="0"/>
        <w:spacing w:line="317" w:lineRule="exact"/>
        <w:rPr>
          <w:rFonts w:ascii="Times New Roman" w:hAnsi="Times New Roman" w:cs="Times New Roman"/>
          <w:sz w:val="22"/>
          <w:szCs w:val="22"/>
        </w:rPr>
      </w:pPr>
    </w:p>
    <w:p w14:paraId="2582531B" w14:textId="77777777" w:rsidR="009C39B6" w:rsidRPr="00E764C6" w:rsidRDefault="009C39B6" w:rsidP="009C39B6">
      <w:pPr>
        <w:numPr>
          <w:ilvl w:val="0"/>
          <w:numId w:val="9"/>
        </w:numPr>
        <w:tabs>
          <w:tab w:val="clear" w:pos="720"/>
          <w:tab w:val="num" w:pos="370"/>
        </w:tabs>
        <w:suppressAutoHyphens w:val="0"/>
        <w:overflowPunct w:val="0"/>
        <w:autoSpaceDE w:val="0"/>
        <w:autoSpaceDN w:val="0"/>
        <w:adjustRightInd w:val="0"/>
        <w:spacing w:line="239" w:lineRule="auto"/>
        <w:ind w:left="370" w:hanging="358"/>
        <w:jc w:val="both"/>
        <w:rPr>
          <w:rFonts w:ascii="Times New Roman" w:hAnsi="Times New Roman" w:cs="Times New Roman"/>
          <w:b/>
          <w:sz w:val="22"/>
          <w:szCs w:val="22"/>
        </w:rPr>
      </w:pPr>
      <w:r w:rsidRPr="00E764C6">
        <w:rPr>
          <w:rFonts w:ascii="Times New Roman" w:hAnsi="Times New Roman" w:cs="Times New Roman"/>
          <w:b/>
          <w:sz w:val="22"/>
          <w:szCs w:val="22"/>
        </w:rPr>
        <w:t xml:space="preserve">Objetivos específicos: </w:t>
      </w:r>
    </w:p>
    <w:p w14:paraId="630C9D08" w14:textId="409E4BF0" w:rsidR="009C39B6" w:rsidRDefault="009C39B6" w:rsidP="009C39B6">
      <w:pPr>
        <w:autoSpaceDE w:val="0"/>
        <w:autoSpaceDN w:val="0"/>
        <w:adjustRightInd w:val="0"/>
        <w:spacing w:line="86" w:lineRule="exact"/>
        <w:rPr>
          <w:rFonts w:ascii="Times New Roman" w:hAnsi="Times New Roman" w:cs="Times New Roman"/>
          <w:b/>
          <w:sz w:val="22"/>
          <w:szCs w:val="22"/>
        </w:rPr>
      </w:pPr>
    </w:p>
    <w:p w14:paraId="13D40C95" w14:textId="77777777" w:rsidR="00B23AC2" w:rsidRPr="009C39B6" w:rsidRDefault="00B23AC2" w:rsidP="009C39B6">
      <w:pPr>
        <w:autoSpaceDE w:val="0"/>
        <w:autoSpaceDN w:val="0"/>
        <w:adjustRightInd w:val="0"/>
        <w:spacing w:line="86" w:lineRule="exact"/>
        <w:rPr>
          <w:rFonts w:ascii="Times New Roman" w:hAnsi="Times New Roman" w:cs="Times New Roman"/>
          <w:sz w:val="22"/>
          <w:szCs w:val="22"/>
        </w:rPr>
      </w:pPr>
    </w:p>
    <w:p w14:paraId="4F34196D" w14:textId="77777777" w:rsidR="00B23AC2" w:rsidRPr="00B23AC2" w:rsidRDefault="00B23AC2" w:rsidP="00B23AC2">
      <w:pPr>
        <w:overflowPunct w:val="0"/>
        <w:autoSpaceDE w:val="0"/>
        <w:autoSpaceDN w:val="0"/>
        <w:adjustRightInd w:val="0"/>
        <w:spacing w:line="237" w:lineRule="auto"/>
        <w:ind w:left="10"/>
        <w:jc w:val="both"/>
        <w:rPr>
          <w:rFonts w:ascii="Times New Roman" w:hAnsi="Times New Roman" w:cs="Times New Roman"/>
          <w:sz w:val="22"/>
          <w:szCs w:val="22"/>
        </w:rPr>
      </w:pPr>
      <w:r w:rsidRPr="00B23AC2">
        <w:rPr>
          <w:rFonts w:ascii="Times New Roman" w:hAnsi="Times New Roman" w:cs="Times New Roman"/>
          <w:sz w:val="22"/>
          <w:szCs w:val="22"/>
        </w:rPr>
        <w:t xml:space="preserve">Objetivo 1: Incrementar el financiamiento doméstico destinado a sociedad civil y poblaciones clave, para la transición y sostenibilidad de la respuesta al VIH. </w:t>
      </w:r>
    </w:p>
    <w:p w14:paraId="3D774B13" w14:textId="77777777" w:rsidR="009C39B6" w:rsidRPr="00B23AC2" w:rsidRDefault="009C39B6" w:rsidP="009C39B6">
      <w:pPr>
        <w:overflowPunct w:val="0"/>
        <w:autoSpaceDE w:val="0"/>
        <w:autoSpaceDN w:val="0"/>
        <w:adjustRightInd w:val="0"/>
        <w:spacing w:line="237" w:lineRule="auto"/>
        <w:ind w:left="10"/>
        <w:jc w:val="both"/>
        <w:rPr>
          <w:rFonts w:ascii="Times New Roman" w:hAnsi="Times New Roman" w:cs="Times New Roman"/>
          <w:sz w:val="22"/>
          <w:szCs w:val="22"/>
          <w:lang w:val="es-PE"/>
        </w:rPr>
      </w:pPr>
    </w:p>
    <w:p w14:paraId="0F65CB49" w14:textId="77777777" w:rsidR="009C39B6" w:rsidRPr="00692F05" w:rsidRDefault="009C39B6" w:rsidP="009C39B6">
      <w:pPr>
        <w:autoSpaceDE w:val="0"/>
        <w:autoSpaceDN w:val="0"/>
        <w:adjustRightInd w:val="0"/>
        <w:spacing w:line="86" w:lineRule="exact"/>
        <w:jc w:val="both"/>
        <w:rPr>
          <w:rFonts w:ascii="Times New Roman" w:hAnsi="Times New Roman" w:cs="Times New Roman"/>
          <w:sz w:val="22"/>
          <w:szCs w:val="22"/>
        </w:rPr>
      </w:pPr>
    </w:p>
    <w:p w14:paraId="25E977C7" w14:textId="4946AA8F" w:rsidR="009C39B6" w:rsidRDefault="00B23AC2" w:rsidP="00B23AC2">
      <w:pPr>
        <w:overflowPunct w:val="0"/>
        <w:autoSpaceDE w:val="0"/>
        <w:autoSpaceDN w:val="0"/>
        <w:adjustRightInd w:val="0"/>
        <w:spacing w:line="237" w:lineRule="auto"/>
        <w:ind w:left="10"/>
        <w:jc w:val="both"/>
        <w:rPr>
          <w:rFonts w:ascii="Times New Roman" w:hAnsi="Times New Roman" w:cs="Times New Roman"/>
          <w:sz w:val="22"/>
          <w:szCs w:val="22"/>
        </w:rPr>
      </w:pPr>
      <w:r w:rsidRPr="00B23AC2">
        <w:rPr>
          <w:rFonts w:ascii="Times New Roman" w:hAnsi="Times New Roman" w:cs="Times New Roman"/>
          <w:sz w:val="22"/>
          <w:szCs w:val="22"/>
        </w:rPr>
        <w:t>Objetivo 2: Consolidar mecanismos sostenibles para la protección, cumplimiento y respeto de los Derechos Humanos y la igualdad de género de las poblaciones clave y personas con VIH.</w:t>
      </w:r>
    </w:p>
    <w:p w14:paraId="4F995B0C" w14:textId="77777777" w:rsidR="00B23AC2" w:rsidRPr="00692F05" w:rsidRDefault="00B23AC2" w:rsidP="009C39B6">
      <w:pPr>
        <w:autoSpaceDE w:val="0"/>
        <w:autoSpaceDN w:val="0"/>
        <w:adjustRightInd w:val="0"/>
        <w:spacing w:line="334" w:lineRule="exact"/>
        <w:jc w:val="both"/>
        <w:rPr>
          <w:rFonts w:ascii="Times New Roman" w:hAnsi="Times New Roman" w:cs="Times New Roman"/>
          <w:sz w:val="22"/>
          <w:szCs w:val="22"/>
        </w:rPr>
      </w:pPr>
    </w:p>
    <w:p w14:paraId="57E59A69" w14:textId="77777777" w:rsidR="00B23AC2" w:rsidRPr="00B23AC2" w:rsidRDefault="00B23AC2" w:rsidP="00B23AC2">
      <w:pPr>
        <w:overflowPunct w:val="0"/>
        <w:autoSpaceDE w:val="0"/>
        <w:autoSpaceDN w:val="0"/>
        <w:adjustRightInd w:val="0"/>
        <w:spacing w:line="237" w:lineRule="auto"/>
        <w:ind w:left="10"/>
        <w:jc w:val="both"/>
        <w:rPr>
          <w:rFonts w:ascii="Times New Roman" w:hAnsi="Times New Roman" w:cs="Times New Roman"/>
          <w:sz w:val="22"/>
          <w:szCs w:val="22"/>
        </w:rPr>
      </w:pPr>
      <w:r w:rsidRPr="00B23AC2">
        <w:rPr>
          <w:rFonts w:ascii="Times New Roman" w:hAnsi="Times New Roman" w:cs="Times New Roman"/>
          <w:sz w:val="22"/>
          <w:szCs w:val="22"/>
        </w:rPr>
        <w:t>Objetivo 3: Sostener el modelo fortalecido de prevención combinada para HSH y mujeres trans y su sistema nacional de información.</w:t>
      </w:r>
    </w:p>
    <w:p w14:paraId="383B60EC" w14:textId="77777777" w:rsidR="009C39B6" w:rsidRPr="00B23AC2" w:rsidRDefault="009C39B6" w:rsidP="009C39B6">
      <w:pPr>
        <w:autoSpaceDE w:val="0"/>
        <w:autoSpaceDN w:val="0"/>
        <w:adjustRightInd w:val="0"/>
        <w:spacing w:line="85" w:lineRule="exact"/>
        <w:jc w:val="both"/>
        <w:rPr>
          <w:rFonts w:ascii="Times New Roman" w:hAnsi="Times New Roman" w:cs="Times New Roman"/>
          <w:sz w:val="22"/>
          <w:szCs w:val="22"/>
          <w:lang w:val="es-PE"/>
        </w:rPr>
      </w:pPr>
    </w:p>
    <w:p w14:paraId="3F917C9C" w14:textId="77777777" w:rsidR="009C39B6" w:rsidRPr="00692F05" w:rsidRDefault="009C39B6" w:rsidP="009C39B6">
      <w:pPr>
        <w:overflowPunct w:val="0"/>
        <w:autoSpaceDE w:val="0"/>
        <w:autoSpaceDN w:val="0"/>
        <w:adjustRightInd w:val="0"/>
        <w:spacing w:line="237" w:lineRule="auto"/>
        <w:ind w:left="10"/>
        <w:jc w:val="both"/>
        <w:rPr>
          <w:rFonts w:ascii="Times New Roman" w:hAnsi="Times New Roman" w:cs="Times New Roman"/>
          <w:sz w:val="22"/>
          <w:szCs w:val="22"/>
        </w:rPr>
      </w:pPr>
    </w:p>
    <w:p w14:paraId="4B664982" w14:textId="77777777" w:rsidR="009C39B6" w:rsidRPr="00692F05" w:rsidRDefault="009C39B6" w:rsidP="009C39B6">
      <w:pPr>
        <w:overflowPunct w:val="0"/>
        <w:autoSpaceDE w:val="0"/>
        <w:autoSpaceDN w:val="0"/>
        <w:adjustRightInd w:val="0"/>
        <w:spacing w:line="237" w:lineRule="auto"/>
        <w:ind w:left="10"/>
        <w:jc w:val="both"/>
        <w:rPr>
          <w:rFonts w:ascii="Times New Roman" w:hAnsi="Times New Roman" w:cs="Times New Roman"/>
          <w:sz w:val="22"/>
          <w:szCs w:val="22"/>
        </w:rPr>
      </w:pPr>
    </w:p>
    <w:p w14:paraId="26EE02E9" w14:textId="173A34AE" w:rsidR="009C39B6" w:rsidRPr="00692F05"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r w:rsidRPr="00692F05">
        <w:rPr>
          <w:rFonts w:ascii="Times New Roman" w:hAnsi="Times New Roman" w:cs="Times New Roman"/>
          <w:sz w:val="22"/>
          <w:szCs w:val="22"/>
        </w:rPr>
        <w:t>A continuación</w:t>
      </w:r>
      <w:r w:rsidR="00C1185E">
        <w:rPr>
          <w:rFonts w:ascii="Times New Roman" w:hAnsi="Times New Roman" w:cs="Times New Roman"/>
          <w:sz w:val="22"/>
          <w:szCs w:val="22"/>
        </w:rPr>
        <w:t>,</w:t>
      </w:r>
      <w:r w:rsidRPr="00692F05">
        <w:rPr>
          <w:rFonts w:ascii="Times New Roman" w:hAnsi="Times New Roman" w:cs="Times New Roman"/>
          <w:sz w:val="22"/>
          <w:szCs w:val="22"/>
        </w:rPr>
        <w:t xml:space="preserve"> se incluyen las organizaciones seleccionadas como Sub-Receptoras del Proyecto País:</w:t>
      </w:r>
    </w:p>
    <w:p w14:paraId="13F27B7D" w14:textId="77777777" w:rsidR="009C39B6" w:rsidRPr="00692F05" w:rsidRDefault="009C39B6" w:rsidP="009C39B6">
      <w:pPr>
        <w:overflowPunct w:val="0"/>
        <w:autoSpaceDE w:val="0"/>
        <w:autoSpaceDN w:val="0"/>
        <w:adjustRightInd w:val="0"/>
        <w:spacing w:line="286" w:lineRule="auto"/>
        <w:ind w:left="10"/>
        <w:jc w:val="both"/>
        <w:rPr>
          <w:rFonts w:ascii="Times New Roman" w:hAnsi="Times New Roman" w:cs="Times New Roman"/>
          <w:sz w:val="22"/>
          <w:szCs w:val="22"/>
        </w:rPr>
      </w:pPr>
    </w:p>
    <w:p w14:paraId="587831E4" w14:textId="77777777" w:rsidR="009C39B6" w:rsidRPr="00692F05" w:rsidRDefault="009C39B6" w:rsidP="009C39B6">
      <w:pPr>
        <w:pStyle w:val="Prrafodelista"/>
        <w:widowControl w:val="0"/>
        <w:numPr>
          <w:ilvl w:val="0"/>
          <w:numId w:val="3"/>
        </w:numPr>
        <w:overflowPunct w:val="0"/>
        <w:autoSpaceDE w:val="0"/>
        <w:autoSpaceDN w:val="0"/>
        <w:adjustRightInd w:val="0"/>
        <w:spacing w:line="286" w:lineRule="auto"/>
        <w:jc w:val="both"/>
        <w:rPr>
          <w:rFonts w:ascii="Times New Roman" w:eastAsia="Droid Sans Fallback" w:hAnsi="Times New Roman" w:cs="Times New Roman"/>
          <w:lang w:val="es-CR" w:eastAsia="zh-CN" w:bidi="hi-IN"/>
        </w:rPr>
      </w:pPr>
      <w:r w:rsidRPr="00692F05">
        <w:rPr>
          <w:rFonts w:ascii="Times New Roman" w:eastAsia="Droid Sans Fallback" w:hAnsi="Times New Roman" w:cs="Times New Roman"/>
          <w:lang w:val="es-CR" w:eastAsia="zh-CN" w:bidi="hi-IN"/>
        </w:rPr>
        <w:t xml:space="preserve">Sub-Receptor 1: Asociación Transvida </w:t>
      </w:r>
    </w:p>
    <w:p w14:paraId="161EDC9C" w14:textId="27BE81CC" w:rsidR="009C39B6" w:rsidRDefault="009C39B6" w:rsidP="00921140">
      <w:pPr>
        <w:pStyle w:val="Prrafodelista"/>
        <w:widowControl w:val="0"/>
        <w:numPr>
          <w:ilvl w:val="0"/>
          <w:numId w:val="3"/>
        </w:numPr>
        <w:overflowPunct w:val="0"/>
        <w:autoSpaceDE w:val="0"/>
        <w:autoSpaceDN w:val="0"/>
        <w:adjustRightInd w:val="0"/>
        <w:spacing w:line="286" w:lineRule="auto"/>
        <w:jc w:val="both"/>
        <w:rPr>
          <w:rFonts w:ascii="Times New Roman" w:eastAsia="Droid Sans Fallback" w:hAnsi="Times New Roman" w:cs="Times New Roman"/>
          <w:lang w:val="es-CR" w:eastAsia="zh-CN" w:bidi="hi-IN"/>
        </w:rPr>
      </w:pPr>
      <w:r w:rsidRPr="009C39B6">
        <w:rPr>
          <w:rFonts w:ascii="Times New Roman" w:eastAsia="Droid Sans Fallback" w:hAnsi="Times New Roman" w:cs="Times New Roman"/>
          <w:lang w:val="es-CR" w:eastAsia="zh-CN" w:bidi="hi-IN"/>
        </w:rPr>
        <w:t>Sub-Receptor 2:</w:t>
      </w:r>
      <w:r w:rsidR="00C1185E">
        <w:rPr>
          <w:rFonts w:ascii="Times New Roman" w:eastAsia="Droid Sans Fallback" w:hAnsi="Times New Roman" w:cs="Times New Roman"/>
          <w:lang w:val="es-CR" w:eastAsia="zh-CN" w:bidi="hi-IN"/>
        </w:rPr>
        <w:t xml:space="preserve"> </w:t>
      </w:r>
      <w:r w:rsidRPr="009C39B6">
        <w:rPr>
          <w:rFonts w:ascii="Times New Roman" w:eastAsia="Droid Sans Fallback" w:hAnsi="Times New Roman" w:cs="Times New Roman"/>
          <w:lang w:val="es-CR" w:eastAsia="zh-CN" w:bidi="hi-IN"/>
        </w:rPr>
        <w:t>Asociación Demográfica Costarricense (ADC</w:t>
      </w:r>
      <w:r>
        <w:rPr>
          <w:rFonts w:ascii="Times New Roman" w:eastAsia="Droid Sans Fallback" w:hAnsi="Times New Roman" w:cs="Times New Roman"/>
          <w:lang w:val="es-CR" w:eastAsia="zh-CN" w:bidi="hi-IN"/>
        </w:rPr>
        <w:t xml:space="preserve">) </w:t>
      </w:r>
    </w:p>
    <w:p w14:paraId="39020BE9" w14:textId="77777777" w:rsidR="009C39B6" w:rsidRPr="009C39B6" w:rsidRDefault="009C39B6" w:rsidP="00921140">
      <w:pPr>
        <w:pStyle w:val="Prrafodelista"/>
        <w:widowControl w:val="0"/>
        <w:numPr>
          <w:ilvl w:val="0"/>
          <w:numId w:val="3"/>
        </w:numPr>
        <w:overflowPunct w:val="0"/>
        <w:autoSpaceDE w:val="0"/>
        <w:autoSpaceDN w:val="0"/>
        <w:adjustRightInd w:val="0"/>
        <w:spacing w:line="286" w:lineRule="auto"/>
        <w:jc w:val="both"/>
        <w:rPr>
          <w:rFonts w:ascii="Times New Roman" w:eastAsia="Droid Sans Fallback" w:hAnsi="Times New Roman" w:cs="Times New Roman"/>
          <w:lang w:val="es-CR" w:eastAsia="zh-CN" w:bidi="hi-IN"/>
        </w:rPr>
      </w:pPr>
      <w:r w:rsidRPr="009C39B6">
        <w:rPr>
          <w:rFonts w:ascii="Times New Roman" w:eastAsia="Droid Sans Fallback" w:hAnsi="Times New Roman" w:cs="Times New Roman"/>
          <w:lang w:val="es-CR" w:eastAsia="zh-CN" w:bidi="hi-IN"/>
        </w:rPr>
        <w:t xml:space="preserve">Sub-Receptor 3: Asociación Esperanza Viva. </w:t>
      </w:r>
    </w:p>
    <w:p w14:paraId="1E8FCF2D" w14:textId="77777777" w:rsidR="009C39B6" w:rsidRPr="009C39B6" w:rsidRDefault="009C39B6" w:rsidP="009C39B6">
      <w:pPr>
        <w:pStyle w:val="Prrafodelista"/>
        <w:widowControl w:val="0"/>
        <w:numPr>
          <w:ilvl w:val="0"/>
          <w:numId w:val="3"/>
        </w:numPr>
        <w:overflowPunct w:val="0"/>
        <w:autoSpaceDE w:val="0"/>
        <w:autoSpaceDN w:val="0"/>
        <w:adjustRightInd w:val="0"/>
        <w:spacing w:line="286" w:lineRule="auto"/>
        <w:jc w:val="both"/>
        <w:rPr>
          <w:rFonts w:ascii="Times New Roman" w:eastAsia="Droid Sans Fallback" w:hAnsi="Times New Roman" w:cs="Times New Roman"/>
          <w:lang w:val="es-CR" w:eastAsia="zh-CN" w:bidi="hi-IN"/>
        </w:rPr>
      </w:pPr>
      <w:r w:rsidRPr="009C39B6">
        <w:rPr>
          <w:rFonts w:ascii="Times New Roman" w:eastAsia="Droid Sans Fallback" w:hAnsi="Times New Roman" w:cs="Times New Roman"/>
          <w:lang w:val="es-CR" w:eastAsia="zh-CN" w:bidi="hi-IN"/>
        </w:rPr>
        <w:t xml:space="preserve">Sub-Receptor 4: </w:t>
      </w:r>
      <w:r>
        <w:rPr>
          <w:rFonts w:ascii="Times New Roman" w:eastAsia="Droid Sans Fallback" w:hAnsi="Times New Roman" w:cs="Times New Roman"/>
          <w:lang w:val="es-CR" w:eastAsia="zh-CN" w:bidi="hi-IN"/>
        </w:rPr>
        <w:t>Asociación Diversidad de Generó de Puntarenas</w:t>
      </w:r>
    </w:p>
    <w:p w14:paraId="70741C2D" w14:textId="77777777" w:rsidR="00AE6DCB" w:rsidRPr="00077A67" w:rsidRDefault="00AE6DCB" w:rsidP="00AE6DCB">
      <w:pPr>
        <w:rPr>
          <w:rFonts w:ascii="Times New Roman" w:hAnsi="Times New Roman" w:cs="Times New Roman"/>
          <w:sz w:val="22"/>
          <w:szCs w:val="22"/>
        </w:rPr>
      </w:pPr>
    </w:p>
    <w:p w14:paraId="3B2842CF" w14:textId="77777777" w:rsidR="00CC6E97" w:rsidRDefault="00CC6E97">
      <w:pPr>
        <w:rPr>
          <w:rFonts w:ascii="Times New Roman" w:hAnsi="Times New Roman" w:cs="Times New Roman"/>
          <w:sz w:val="22"/>
          <w:szCs w:val="22"/>
        </w:rPr>
      </w:pPr>
    </w:p>
    <w:p w14:paraId="349BC435" w14:textId="05D622FA" w:rsidR="00AB1293" w:rsidRPr="00077A67" w:rsidRDefault="00511DD4" w:rsidP="00C1185E">
      <w:pPr>
        <w:jc w:val="both"/>
        <w:rPr>
          <w:rFonts w:ascii="Times New Roman" w:hAnsi="Times New Roman" w:cs="Times New Roman"/>
          <w:sz w:val="22"/>
          <w:szCs w:val="22"/>
        </w:rPr>
      </w:pPr>
      <w:r w:rsidRPr="00077A67">
        <w:rPr>
          <w:rFonts w:ascii="Times New Roman" w:hAnsi="Times New Roman" w:cs="Times New Roman"/>
          <w:sz w:val="22"/>
          <w:szCs w:val="22"/>
        </w:rPr>
        <w:t>La subvención otorgada es por tres años,</w:t>
      </w:r>
      <w:r w:rsidR="00AE6DCB">
        <w:rPr>
          <w:rFonts w:ascii="Times New Roman" w:hAnsi="Times New Roman" w:cs="Times New Roman"/>
          <w:sz w:val="22"/>
          <w:szCs w:val="22"/>
        </w:rPr>
        <w:t xml:space="preserve"> iniciando el 1 de julio de 2018</w:t>
      </w:r>
      <w:r w:rsidRPr="00077A67">
        <w:rPr>
          <w:rFonts w:ascii="Times New Roman" w:hAnsi="Times New Roman" w:cs="Times New Roman"/>
          <w:sz w:val="22"/>
          <w:szCs w:val="22"/>
        </w:rPr>
        <w:t xml:space="preserve"> y t</w:t>
      </w:r>
      <w:r w:rsidR="00AE6DCB">
        <w:rPr>
          <w:rFonts w:ascii="Times New Roman" w:hAnsi="Times New Roman" w:cs="Times New Roman"/>
          <w:sz w:val="22"/>
          <w:szCs w:val="22"/>
        </w:rPr>
        <w:t>erminando el 30 de junio de 2021.  El total aprobado es por $2</w:t>
      </w:r>
      <w:r w:rsidRPr="00077A67">
        <w:rPr>
          <w:rFonts w:ascii="Times New Roman" w:hAnsi="Times New Roman" w:cs="Times New Roman"/>
          <w:sz w:val="22"/>
          <w:szCs w:val="22"/>
        </w:rPr>
        <w:t>.</w:t>
      </w:r>
      <w:r w:rsidR="00681136">
        <w:rPr>
          <w:rFonts w:ascii="Times New Roman" w:hAnsi="Times New Roman" w:cs="Times New Roman"/>
          <w:sz w:val="22"/>
          <w:szCs w:val="22"/>
        </w:rPr>
        <w:t>682</w:t>
      </w:r>
      <w:r w:rsidRPr="00077A67">
        <w:rPr>
          <w:rFonts w:ascii="Times New Roman" w:hAnsi="Times New Roman" w:cs="Times New Roman"/>
          <w:sz w:val="22"/>
          <w:szCs w:val="22"/>
        </w:rPr>
        <w:t>.</w:t>
      </w:r>
      <w:r w:rsidR="00681136">
        <w:rPr>
          <w:rFonts w:ascii="Times New Roman" w:hAnsi="Times New Roman" w:cs="Times New Roman"/>
          <w:sz w:val="22"/>
          <w:szCs w:val="22"/>
        </w:rPr>
        <w:t>165</w:t>
      </w:r>
      <w:r w:rsidR="00E764C6">
        <w:rPr>
          <w:rFonts w:ascii="Times New Roman" w:hAnsi="Times New Roman" w:cs="Times New Roman"/>
          <w:sz w:val="22"/>
          <w:szCs w:val="22"/>
        </w:rPr>
        <w:t>.00</w:t>
      </w:r>
      <w:r w:rsidR="003D3B1B">
        <w:rPr>
          <w:rFonts w:ascii="Times New Roman" w:hAnsi="Times New Roman" w:cs="Times New Roman"/>
          <w:sz w:val="22"/>
          <w:szCs w:val="22"/>
        </w:rPr>
        <w:t xml:space="preserve">.  </w:t>
      </w:r>
      <w:r w:rsidRPr="00077A67">
        <w:rPr>
          <w:rFonts w:ascii="Times New Roman" w:hAnsi="Times New Roman" w:cs="Times New Roman"/>
          <w:sz w:val="22"/>
          <w:szCs w:val="22"/>
        </w:rPr>
        <w:t>Para esta auditoría el período cubierto tiene un pr</w:t>
      </w:r>
      <w:r w:rsidR="005E26E3">
        <w:rPr>
          <w:rFonts w:ascii="Times New Roman" w:hAnsi="Times New Roman" w:cs="Times New Roman"/>
          <w:sz w:val="22"/>
          <w:szCs w:val="22"/>
        </w:rPr>
        <w:t>esupuesto proyectado para los 12</w:t>
      </w:r>
      <w:r w:rsidRPr="00077A67">
        <w:rPr>
          <w:rFonts w:ascii="Times New Roman" w:hAnsi="Times New Roman" w:cs="Times New Roman"/>
          <w:sz w:val="22"/>
          <w:szCs w:val="22"/>
        </w:rPr>
        <w:t xml:space="preserve"> meses de $</w:t>
      </w:r>
      <w:r w:rsidR="00681136">
        <w:rPr>
          <w:rFonts w:ascii="Times New Roman" w:hAnsi="Times New Roman" w:cs="Times New Roman"/>
          <w:sz w:val="22"/>
          <w:szCs w:val="22"/>
        </w:rPr>
        <w:t>1.070</w:t>
      </w:r>
      <w:r w:rsidR="0074159F" w:rsidRPr="00077A67">
        <w:rPr>
          <w:rFonts w:ascii="Times New Roman" w:hAnsi="Times New Roman" w:cs="Times New Roman"/>
          <w:sz w:val="22"/>
          <w:szCs w:val="22"/>
        </w:rPr>
        <w:t>.</w:t>
      </w:r>
      <w:r w:rsidR="00681136">
        <w:rPr>
          <w:rFonts w:ascii="Times New Roman" w:hAnsi="Times New Roman" w:cs="Times New Roman"/>
          <w:sz w:val="22"/>
          <w:szCs w:val="22"/>
        </w:rPr>
        <w:t>889</w:t>
      </w:r>
      <w:r w:rsidRPr="00077A67">
        <w:rPr>
          <w:rFonts w:ascii="Times New Roman" w:hAnsi="Times New Roman" w:cs="Times New Roman"/>
          <w:sz w:val="22"/>
          <w:szCs w:val="22"/>
        </w:rPr>
        <w:t>.</w:t>
      </w:r>
      <w:r w:rsidR="00A256D5">
        <w:rPr>
          <w:rFonts w:ascii="Times New Roman" w:hAnsi="Times New Roman" w:cs="Times New Roman"/>
          <w:sz w:val="22"/>
          <w:szCs w:val="22"/>
        </w:rPr>
        <w:t>00.</w:t>
      </w:r>
      <w:r w:rsidR="00CC6E97">
        <w:rPr>
          <w:rFonts w:ascii="Times New Roman" w:hAnsi="Times New Roman" w:cs="Times New Roman"/>
          <w:sz w:val="22"/>
          <w:szCs w:val="22"/>
        </w:rPr>
        <w:t xml:space="preserve"> </w:t>
      </w:r>
      <w:r w:rsidR="00692F05">
        <w:rPr>
          <w:rFonts w:ascii="Times New Roman" w:hAnsi="Times New Roman" w:cs="Times New Roman"/>
          <w:sz w:val="22"/>
          <w:szCs w:val="22"/>
        </w:rPr>
        <w:t>Asimismo,</w:t>
      </w:r>
      <w:r w:rsidRPr="00077A67">
        <w:rPr>
          <w:rFonts w:ascii="Times New Roman" w:hAnsi="Times New Roman" w:cs="Times New Roman"/>
          <w:sz w:val="22"/>
          <w:szCs w:val="22"/>
        </w:rPr>
        <w:t xml:space="preserve"> a la fecha de estos términos el Fondo Mundial ha desembolsado un total de $</w:t>
      </w:r>
      <w:r w:rsidR="00681136">
        <w:rPr>
          <w:rFonts w:ascii="Times New Roman" w:hAnsi="Times New Roman" w:cs="Times New Roman"/>
          <w:sz w:val="22"/>
          <w:szCs w:val="22"/>
        </w:rPr>
        <w:t>1,899,945.92</w:t>
      </w:r>
      <w:r w:rsidRPr="00077A67">
        <w:rPr>
          <w:rFonts w:ascii="Times New Roman" w:hAnsi="Times New Roman" w:cs="Times New Roman"/>
          <w:sz w:val="22"/>
          <w:szCs w:val="22"/>
        </w:rPr>
        <w:t xml:space="preserve"> al RP.  Mientras tanto el RP a su vez </w:t>
      </w:r>
      <w:r w:rsidR="0074159F" w:rsidRPr="00077A67">
        <w:rPr>
          <w:rFonts w:ascii="Times New Roman" w:hAnsi="Times New Roman" w:cs="Times New Roman"/>
          <w:sz w:val="22"/>
          <w:szCs w:val="22"/>
        </w:rPr>
        <w:t>pl</w:t>
      </w:r>
      <w:r w:rsidRPr="00077A67">
        <w:rPr>
          <w:rFonts w:ascii="Times New Roman" w:hAnsi="Times New Roman" w:cs="Times New Roman"/>
          <w:sz w:val="22"/>
          <w:szCs w:val="22"/>
        </w:rPr>
        <w:t>a</w:t>
      </w:r>
      <w:r w:rsidR="0074159F" w:rsidRPr="00077A67">
        <w:rPr>
          <w:rFonts w:ascii="Times New Roman" w:hAnsi="Times New Roman" w:cs="Times New Roman"/>
          <w:sz w:val="22"/>
          <w:szCs w:val="22"/>
        </w:rPr>
        <w:t>nea</w:t>
      </w:r>
      <w:r w:rsidRPr="00077A67">
        <w:rPr>
          <w:rFonts w:ascii="Times New Roman" w:hAnsi="Times New Roman" w:cs="Times New Roman"/>
          <w:sz w:val="22"/>
          <w:szCs w:val="22"/>
        </w:rPr>
        <w:t xml:space="preserve"> desembolsa</w:t>
      </w:r>
      <w:r w:rsidR="0074159F" w:rsidRPr="00077A67">
        <w:rPr>
          <w:rFonts w:ascii="Times New Roman" w:hAnsi="Times New Roman" w:cs="Times New Roman"/>
          <w:sz w:val="22"/>
          <w:szCs w:val="22"/>
        </w:rPr>
        <w:t>r</w:t>
      </w:r>
      <w:r w:rsidRPr="00077A67">
        <w:rPr>
          <w:rFonts w:ascii="Times New Roman" w:hAnsi="Times New Roman" w:cs="Times New Roman"/>
          <w:sz w:val="22"/>
          <w:szCs w:val="22"/>
        </w:rPr>
        <w:t xml:space="preserve"> a los </w:t>
      </w:r>
      <w:r w:rsidR="00B42580">
        <w:rPr>
          <w:rFonts w:ascii="Times New Roman" w:hAnsi="Times New Roman" w:cs="Times New Roman"/>
          <w:sz w:val="22"/>
          <w:szCs w:val="22"/>
        </w:rPr>
        <w:t>sub-receptores (</w:t>
      </w:r>
      <w:r w:rsidRPr="00077A67">
        <w:rPr>
          <w:rFonts w:ascii="Times New Roman" w:hAnsi="Times New Roman" w:cs="Times New Roman"/>
          <w:sz w:val="22"/>
          <w:szCs w:val="22"/>
        </w:rPr>
        <w:t>SR</w:t>
      </w:r>
      <w:r w:rsidR="00B42580">
        <w:rPr>
          <w:rFonts w:ascii="Times New Roman" w:hAnsi="Times New Roman" w:cs="Times New Roman"/>
          <w:sz w:val="22"/>
          <w:szCs w:val="22"/>
        </w:rPr>
        <w:t>)</w:t>
      </w:r>
      <w:r w:rsidRPr="00077A67">
        <w:rPr>
          <w:rFonts w:ascii="Times New Roman" w:hAnsi="Times New Roman" w:cs="Times New Roman"/>
          <w:sz w:val="22"/>
          <w:szCs w:val="22"/>
        </w:rPr>
        <w:t xml:space="preserve"> el total de $</w:t>
      </w:r>
      <w:r w:rsidR="00681136">
        <w:rPr>
          <w:rFonts w:ascii="Times New Roman" w:hAnsi="Times New Roman" w:cs="Times New Roman"/>
          <w:sz w:val="22"/>
          <w:szCs w:val="22"/>
        </w:rPr>
        <w:t>207</w:t>
      </w:r>
      <w:r w:rsidRPr="00077A67">
        <w:rPr>
          <w:rFonts w:ascii="Times New Roman" w:hAnsi="Times New Roman" w:cs="Times New Roman"/>
          <w:sz w:val="22"/>
          <w:szCs w:val="22"/>
        </w:rPr>
        <w:t>.</w:t>
      </w:r>
      <w:r w:rsidR="00954A90">
        <w:rPr>
          <w:rFonts w:ascii="Times New Roman" w:hAnsi="Times New Roman" w:cs="Times New Roman"/>
          <w:sz w:val="22"/>
          <w:szCs w:val="22"/>
        </w:rPr>
        <w:t>9</w:t>
      </w:r>
      <w:r w:rsidR="003D3B1B">
        <w:rPr>
          <w:rFonts w:ascii="Times New Roman" w:hAnsi="Times New Roman" w:cs="Times New Roman"/>
          <w:sz w:val="22"/>
          <w:szCs w:val="22"/>
        </w:rPr>
        <w:t>7</w:t>
      </w:r>
      <w:r w:rsidR="00954A90">
        <w:rPr>
          <w:rFonts w:ascii="Times New Roman" w:hAnsi="Times New Roman" w:cs="Times New Roman"/>
          <w:sz w:val="22"/>
          <w:szCs w:val="22"/>
        </w:rPr>
        <w:t>8</w:t>
      </w:r>
      <w:r w:rsidR="003D3B1B">
        <w:rPr>
          <w:rFonts w:ascii="Times New Roman" w:hAnsi="Times New Roman" w:cs="Times New Roman"/>
          <w:sz w:val="22"/>
          <w:szCs w:val="22"/>
        </w:rPr>
        <w:t>.00</w:t>
      </w:r>
    </w:p>
    <w:p w14:paraId="56C2F773" w14:textId="77777777" w:rsidR="0074159F" w:rsidRPr="00077A67" w:rsidRDefault="0074159F">
      <w:pPr>
        <w:rPr>
          <w:rFonts w:ascii="Times New Roman" w:hAnsi="Times New Roman" w:cs="Times New Roman"/>
          <w:sz w:val="22"/>
          <w:szCs w:val="22"/>
        </w:rPr>
      </w:pPr>
    </w:p>
    <w:p w14:paraId="109BDA96" w14:textId="77777777" w:rsidR="0074159F" w:rsidRPr="00077A67" w:rsidRDefault="00F31BE5">
      <w:pPr>
        <w:rPr>
          <w:rFonts w:ascii="Times New Roman" w:hAnsi="Times New Roman" w:cs="Times New Roman"/>
          <w:sz w:val="22"/>
          <w:szCs w:val="22"/>
        </w:rPr>
      </w:pPr>
      <w:r w:rsidRPr="00077A67">
        <w:rPr>
          <w:rFonts w:ascii="Times New Roman" w:hAnsi="Times New Roman" w:cs="Times New Roman"/>
          <w:sz w:val="22"/>
          <w:szCs w:val="22"/>
        </w:rPr>
        <w:t xml:space="preserve">La situación es </w:t>
      </w:r>
      <w:r w:rsidR="0074159F" w:rsidRPr="00077A67">
        <w:rPr>
          <w:rFonts w:ascii="Times New Roman" w:hAnsi="Times New Roman" w:cs="Times New Roman"/>
          <w:sz w:val="22"/>
          <w:szCs w:val="22"/>
        </w:rPr>
        <w:t>l</w:t>
      </w:r>
      <w:r w:rsidRPr="00077A67">
        <w:rPr>
          <w:rFonts w:ascii="Times New Roman" w:hAnsi="Times New Roman" w:cs="Times New Roman"/>
          <w:sz w:val="22"/>
          <w:szCs w:val="22"/>
        </w:rPr>
        <w:t>a</w:t>
      </w:r>
      <w:r w:rsidR="0074159F" w:rsidRPr="00077A67">
        <w:rPr>
          <w:rFonts w:ascii="Times New Roman" w:hAnsi="Times New Roman" w:cs="Times New Roman"/>
          <w:sz w:val="22"/>
          <w:szCs w:val="22"/>
        </w:rPr>
        <w:t xml:space="preserve"> siguiente:</w:t>
      </w:r>
    </w:p>
    <w:p w14:paraId="461D5DDF" w14:textId="77777777" w:rsidR="0074159F" w:rsidRPr="00077A67" w:rsidRDefault="0074159F">
      <w:pPr>
        <w:rPr>
          <w:rFonts w:ascii="Times New Roman" w:hAnsi="Times New Roman" w:cs="Times New Roman"/>
          <w:sz w:val="22"/>
          <w:szCs w:val="22"/>
        </w:rPr>
      </w:pPr>
    </w:p>
    <w:tbl>
      <w:tblPr>
        <w:tblStyle w:val="Tablaconcuadrcula"/>
        <w:tblW w:w="0" w:type="auto"/>
        <w:tblLook w:val="04A0" w:firstRow="1" w:lastRow="0" w:firstColumn="1" w:lastColumn="0" w:noHBand="0" w:noVBand="1"/>
      </w:tblPr>
      <w:tblGrid>
        <w:gridCol w:w="3143"/>
        <w:gridCol w:w="1945"/>
        <w:gridCol w:w="2490"/>
        <w:gridCol w:w="2384"/>
      </w:tblGrid>
      <w:tr w:rsidR="00D50F25" w:rsidRPr="00077A67" w14:paraId="0EB1E5FC" w14:textId="77777777" w:rsidTr="003D3B1B">
        <w:tc>
          <w:tcPr>
            <w:tcW w:w="3143" w:type="dxa"/>
          </w:tcPr>
          <w:p w14:paraId="6FA70262" w14:textId="77777777" w:rsidR="00D50F25" w:rsidRPr="00077A67" w:rsidRDefault="00D50F25" w:rsidP="00F31BE5">
            <w:pPr>
              <w:jc w:val="center"/>
              <w:rPr>
                <w:rFonts w:ascii="Times New Roman" w:hAnsi="Times New Roman" w:cs="Times New Roman"/>
                <w:b/>
                <w:sz w:val="22"/>
                <w:szCs w:val="22"/>
              </w:rPr>
            </w:pPr>
            <w:r w:rsidRPr="00077A67">
              <w:rPr>
                <w:rFonts w:ascii="Times New Roman" w:hAnsi="Times New Roman" w:cs="Times New Roman"/>
                <w:b/>
                <w:sz w:val="22"/>
                <w:szCs w:val="22"/>
              </w:rPr>
              <w:t>Período</w:t>
            </w:r>
          </w:p>
        </w:tc>
        <w:tc>
          <w:tcPr>
            <w:tcW w:w="1945" w:type="dxa"/>
          </w:tcPr>
          <w:p w14:paraId="751369A7" w14:textId="77777777" w:rsidR="00D50F25" w:rsidRPr="00077A67" w:rsidRDefault="00D50F25" w:rsidP="00F31BE5">
            <w:pPr>
              <w:jc w:val="center"/>
              <w:rPr>
                <w:rFonts w:ascii="Times New Roman" w:hAnsi="Times New Roman" w:cs="Times New Roman"/>
                <w:b/>
                <w:sz w:val="22"/>
                <w:szCs w:val="22"/>
              </w:rPr>
            </w:pPr>
            <w:r w:rsidRPr="00077A67">
              <w:rPr>
                <w:rFonts w:ascii="Times New Roman" w:hAnsi="Times New Roman" w:cs="Times New Roman"/>
                <w:b/>
                <w:sz w:val="22"/>
                <w:szCs w:val="22"/>
              </w:rPr>
              <w:t>Ejecutar</w:t>
            </w:r>
          </w:p>
        </w:tc>
        <w:tc>
          <w:tcPr>
            <w:tcW w:w="2490" w:type="dxa"/>
          </w:tcPr>
          <w:p w14:paraId="04C915D8" w14:textId="77777777" w:rsidR="00D50F25" w:rsidRPr="00077A67" w:rsidRDefault="00D50F25" w:rsidP="00F31BE5">
            <w:pPr>
              <w:jc w:val="center"/>
              <w:rPr>
                <w:rFonts w:ascii="Times New Roman" w:hAnsi="Times New Roman" w:cs="Times New Roman"/>
                <w:b/>
                <w:sz w:val="22"/>
                <w:szCs w:val="22"/>
              </w:rPr>
            </w:pPr>
            <w:r w:rsidRPr="00077A67">
              <w:rPr>
                <w:rFonts w:ascii="Times New Roman" w:hAnsi="Times New Roman" w:cs="Times New Roman"/>
                <w:b/>
                <w:sz w:val="22"/>
                <w:szCs w:val="22"/>
              </w:rPr>
              <w:t>Ejecutar por el RP</w:t>
            </w:r>
          </w:p>
        </w:tc>
        <w:tc>
          <w:tcPr>
            <w:tcW w:w="2384" w:type="dxa"/>
          </w:tcPr>
          <w:p w14:paraId="3157C1C8" w14:textId="77777777" w:rsidR="00D50F25" w:rsidRPr="00077A67" w:rsidRDefault="00D50F25" w:rsidP="00F31BE5">
            <w:pPr>
              <w:jc w:val="center"/>
              <w:rPr>
                <w:rFonts w:ascii="Times New Roman" w:hAnsi="Times New Roman" w:cs="Times New Roman"/>
                <w:b/>
                <w:sz w:val="22"/>
                <w:szCs w:val="22"/>
              </w:rPr>
            </w:pPr>
            <w:r w:rsidRPr="00077A67">
              <w:rPr>
                <w:rFonts w:ascii="Times New Roman" w:hAnsi="Times New Roman" w:cs="Times New Roman"/>
                <w:b/>
                <w:sz w:val="22"/>
                <w:szCs w:val="22"/>
              </w:rPr>
              <w:t>Desembolsar a los SR</w:t>
            </w:r>
          </w:p>
        </w:tc>
      </w:tr>
      <w:tr w:rsidR="00D50F25" w:rsidRPr="00077A67" w14:paraId="408EC076" w14:textId="77777777" w:rsidTr="003D3B1B">
        <w:tc>
          <w:tcPr>
            <w:tcW w:w="3143" w:type="dxa"/>
          </w:tcPr>
          <w:p w14:paraId="59D09D3B" w14:textId="2B72A4F3" w:rsidR="00D50F25" w:rsidRPr="00077A67" w:rsidRDefault="00692F05" w:rsidP="00876DD9">
            <w:pPr>
              <w:rPr>
                <w:rFonts w:ascii="Times New Roman" w:hAnsi="Times New Roman" w:cs="Times New Roman"/>
                <w:sz w:val="22"/>
                <w:szCs w:val="22"/>
              </w:rPr>
            </w:pPr>
            <w:r>
              <w:rPr>
                <w:rFonts w:ascii="Times New Roman" w:hAnsi="Times New Roman" w:cs="Times New Roman"/>
                <w:sz w:val="22"/>
                <w:szCs w:val="22"/>
              </w:rPr>
              <w:t>Año jul</w:t>
            </w:r>
            <w:r w:rsidR="00876DD9">
              <w:rPr>
                <w:rFonts w:ascii="Times New Roman" w:hAnsi="Times New Roman" w:cs="Times New Roman"/>
                <w:sz w:val="22"/>
                <w:szCs w:val="22"/>
              </w:rPr>
              <w:t>io</w:t>
            </w:r>
            <w:r w:rsidR="00D50F25" w:rsidRPr="00077A67">
              <w:rPr>
                <w:rFonts w:ascii="Times New Roman" w:hAnsi="Times New Roman" w:cs="Times New Roman"/>
                <w:sz w:val="22"/>
                <w:szCs w:val="22"/>
              </w:rPr>
              <w:t xml:space="preserve"> a diciembre</w:t>
            </w:r>
            <w:r w:rsidR="00876DD9">
              <w:rPr>
                <w:rFonts w:ascii="Times New Roman" w:hAnsi="Times New Roman" w:cs="Times New Roman"/>
                <w:sz w:val="22"/>
                <w:szCs w:val="22"/>
              </w:rPr>
              <w:t xml:space="preserve"> </w:t>
            </w:r>
            <w:r w:rsidR="00D50F25" w:rsidRPr="00077A67">
              <w:rPr>
                <w:rFonts w:ascii="Times New Roman" w:hAnsi="Times New Roman" w:cs="Times New Roman"/>
                <w:sz w:val="22"/>
                <w:szCs w:val="22"/>
              </w:rPr>
              <w:t>201</w:t>
            </w:r>
            <w:r w:rsidR="003D3B1B">
              <w:rPr>
                <w:rFonts w:ascii="Times New Roman" w:hAnsi="Times New Roman" w:cs="Times New Roman"/>
                <w:sz w:val="22"/>
                <w:szCs w:val="22"/>
              </w:rPr>
              <w:t>8</w:t>
            </w:r>
          </w:p>
        </w:tc>
        <w:tc>
          <w:tcPr>
            <w:tcW w:w="1945" w:type="dxa"/>
          </w:tcPr>
          <w:p w14:paraId="332CD27A" w14:textId="4E28C2FB" w:rsidR="00D50F25" w:rsidRPr="00077A67" w:rsidRDefault="003D3B1B" w:rsidP="00F31BE5">
            <w:pPr>
              <w:jc w:val="center"/>
              <w:rPr>
                <w:rFonts w:ascii="Times New Roman" w:hAnsi="Times New Roman" w:cs="Times New Roman"/>
                <w:sz w:val="22"/>
                <w:szCs w:val="22"/>
              </w:rPr>
            </w:pPr>
            <w:r>
              <w:rPr>
                <w:rFonts w:ascii="Times New Roman" w:hAnsi="Times New Roman" w:cs="Times New Roman"/>
                <w:sz w:val="22"/>
                <w:szCs w:val="22"/>
              </w:rPr>
              <w:t>488.699</w:t>
            </w:r>
          </w:p>
        </w:tc>
        <w:tc>
          <w:tcPr>
            <w:tcW w:w="2490" w:type="dxa"/>
          </w:tcPr>
          <w:p w14:paraId="59935754" w14:textId="5B880BEA" w:rsidR="00D50F25" w:rsidRPr="00077A67" w:rsidRDefault="003D3B1B" w:rsidP="003D3B1B">
            <w:pPr>
              <w:jc w:val="center"/>
              <w:rPr>
                <w:rFonts w:ascii="Times New Roman" w:hAnsi="Times New Roman" w:cs="Times New Roman"/>
                <w:sz w:val="22"/>
                <w:szCs w:val="22"/>
              </w:rPr>
            </w:pPr>
            <w:r>
              <w:rPr>
                <w:rFonts w:ascii="Times New Roman" w:hAnsi="Times New Roman" w:cs="Times New Roman"/>
                <w:sz w:val="22"/>
                <w:szCs w:val="22"/>
              </w:rPr>
              <w:t>284</w:t>
            </w:r>
            <w:r w:rsidR="00610254" w:rsidRPr="00077A67">
              <w:rPr>
                <w:rFonts w:ascii="Times New Roman" w:hAnsi="Times New Roman" w:cs="Times New Roman"/>
                <w:sz w:val="22"/>
                <w:szCs w:val="22"/>
              </w:rPr>
              <w:t>.</w:t>
            </w:r>
            <w:r>
              <w:rPr>
                <w:rFonts w:ascii="Times New Roman" w:hAnsi="Times New Roman" w:cs="Times New Roman"/>
                <w:sz w:val="22"/>
                <w:szCs w:val="22"/>
              </w:rPr>
              <w:t>069</w:t>
            </w:r>
          </w:p>
        </w:tc>
        <w:tc>
          <w:tcPr>
            <w:tcW w:w="2384" w:type="dxa"/>
          </w:tcPr>
          <w:p w14:paraId="048A1686" w14:textId="58BD20C8" w:rsidR="00D50F25" w:rsidRPr="00077A67" w:rsidRDefault="003D3B1B" w:rsidP="00F31BE5">
            <w:pPr>
              <w:jc w:val="center"/>
              <w:rPr>
                <w:rFonts w:ascii="Times New Roman" w:hAnsi="Times New Roman" w:cs="Times New Roman"/>
                <w:sz w:val="22"/>
                <w:szCs w:val="22"/>
              </w:rPr>
            </w:pPr>
            <w:r>
              <w:rPr>
                <w:rFonts w:ascii="Times New Roman" w:hAnsi="Times New Roman" w:cs="Times New Roman"/>
                <w:sz w:val="22"/>
                <w:szCs w:val="22"/>
              </w:rPr>
              <w:t>204.630</w:t>
            </w:r>
          </w:p>
        </w:tc>
      </w:tr>
      <w:tr w:rsidR="00D50F25" w:rsidRPr="00077A67" w14:paraId="53E2EB25" w14:textId="77777777" w:rsidTr="003D3B1B">
        <w:tc>
          <w:tcPr>
            <w:tcW w:w="3143" w:type="dxa"/>
          </w:tcPr>
          <w:p w14:paraId="3F7A4808" w14:textId="4BCD856C" w:rsidR="00D50F25" w:rsidRPr="00077A67" w:rsidRDefault="003D3B1B">
            <w:pPr>
              <w:rPr>
                <w:rFonts w:ascii="Times New Roman" w:hAnsi="Times New Roman" w:cs="Times New Roman"/>
                <w:sz w:val="22"/>
                <w:szCs w:val="22"/>
              </w:rPr>
            </w:pPr>
            <w:r>
              <w:rPr>
                <w:rFonts w:ascii="Times New Roman" w:hAnsi="Times New Roman" w:cs="Times New Roman"/>
                <w:sz w:val="22"/>
                <w:szCs w:val="22"/>
              </w:rPr>
              <w:t>Año 2019</w:t>
            </w:r>
          </w:p>
        </w:tc>
        <w:tc>
          <w:tcPr>
            <w:tcW w:w="1945" w:type="dxa"/>
          </w:tcPr>
          <w:p w14:paraId="512A3A97" w14:textId="16C67A4F" w:rsidR="00D50F25" w:rsidRPr="00077A67" w:rsidRDefault="003D3B1B" w:rsidP="00F31BE5">
            <w:pPr>
              <w:jc w:val="center"/>
              <w:rPr>
                <w:rFonts w:ascii="Times New Roman" w:hAnsi="Times New Roman" w:cs="Times New Roman"/>
                <w:sz w:val="22"/>
                <w:szCs w:val="22"/>
              </w:rPr>
            </w:pPr>
            <w:r>
              <w:rPr>
                <w:rFonts w:ascii="Times New Roman" w:hAnsi="Times New Roman" w:cs="Times New Roman"/>
                <w:sz w:val="22"/>
                <w:szCs w:val="22"/>
              </w:rPr>
              <w:t>818.723</w:t>
            </w:r>
          </w:p>
        </w:tc>
        <w:tc>
          <w:tcPr>
            <w:tcW w:w="2490" w:type="dxa"/>
          </w:tcPr>
          <w:p w14:paraId="5C168AF8" w14:textId="0B479864" w:rsidR="00D50F25" w:rsidRPr="00077A67" w:rsidRDefault="003D3B1B" w:rsidP="003D3B1B">
            <w:pPr>
              <w:jc w:val="center"/>
              <w:rPr>
                <w:rFonts w:ascii="Times New Roman" w:hAnsi="Times New Roman" w:cs="Times New Roman"/>
                <w:sz w:val="22"/>
                <w:szCs w:val="22"/>
              </w:rPr>
            </w:pPr>
            <w:r>
              <w:rPr>
                <w:rFonts w:ascii="Times New Roman" w:hAnsi="Times New Roman" w:cs="Times New Roman"/>
                <w:sz w:val="22"/>
                <w:szCs w:val="22"/>
              </w:rPr>
              <w:t>472</w:t>
            </w:r>
            <w:r w:rsidR="00D50F25" w:rsidRPr="00077A67">
              <w:rPr>
                <w:rFonts w:ascii="Times New Roman" w:hAnsi="Times New Roman" w:cs="Times New Roman"/>
                <w:sz w:val="22"/>
                <w:szCs w:val="22"/>
              </w:rPr>
              <w:t>.</w:t>
            </w:r>
            <w:r>
              <w:rPr>
                <w:rFonts w:ascii="Times New Roman" w:hAnsi="Times New Roman" w:cs="Times New Roman"/>
                <w:sz w:val="22"/>
                <w:szCs w:val="22"/>
              </w:rPr>
              <w:t>64</w:t>
            </w:r>
            <w:r w:rsidR="00D50F25" w:rsidRPr="00077A67">
              <w:rPr>
                <w:rFonts w:ascii="Times New Roman" w:hAnsi="Times New Roman" w:cs="Times New Roman"/>
                <w:sz w:val="22"/>
                <w:szCs w:val="22"/>
              </w:rPr>
              <w:t>7</w:t>
            </w:r>
          </w:p>
        </w:tc>
        <w:tc>
          <w:tcPr>
            <w:tcW w:w="2384" w:type="dxa"/>
          </w:tcPr>
          <w:p w14:paraId="67DE3D4F" w14:textId="06961FD4" w:rsidR="00D50F25" w:rsidRPr="00077A67" w:rsidRDefault="003D3B1B" w:rsidP="003D3B1B">
            <w:pPr>
              <w:jc w:val="center"/>
              <w:rPr>
                <w:rFonts w:ascii="Times New Roman" w:hAnsi="Times New Roman" w:cs="Times New Roman"/>
                <w:sz w:val="22"/>
                <w:szCs w:val="22"/>
              </w:rPr>
            </w:pPr>
            <w:r>
              <w:rPr>
                <w:rFonts w:ascii="Times New Roman" w:hAnsi="Times New Roman" w:cs="Times New Roman"/>
                <w:sz w:val="22"/>
                <w:szCs w:val="22"/>
              </w:rPr>
              <w:t>346</w:t>
            </w:r>
            <w:r w:rsidR="00D50F25" w:rsidRPr="00077A67">
              <w:rPr>
                <w:rFonts w:ascii="Times New Roman" w:hAnsi="Times New Roman" w:cs="Times New Roman"/>
                <w:sz w:val="22"/>
                <w:szCs w:val="22"/>
              </w:rPr>
              <w:t>.</w:t>
            </w:r>
            <w:r>
              <w:rPr>
                <w:rFonts w:ascii="Times New Roman" w:hAnsi="Times New Roman" w:cs="Times New Roman"/>
                <w:sz w:val="22"/>
                <w:szCs w:val="22"/>
              </w:rPr>
              <w:t>076</w:t>
            </w:r>
          </w:p>
        </w:tc>
      </w:tr>
      <w:tr w:rsidR="00D50F25" w:rsidRPr="00077A67" w14:paraId="79CC1CEC" w14:textId="77777777" w:rsidTr="003D3B1B">
        <w:tc>
          <w:tcPr>
            <w:tcW w:w="3143" w:type="dxa"/>
          </w:tcPr>
          <w:p w14:paraId="4363D66A" w14:textId="76B2C6BD" w:rsidR="00D50F25" w:rsidRPr="00077A67" w:rsidRDefault="003D3B1B">
            <w:pPr>
              <w:rPr>
                <w:rFonts w:ascii="Times New Roman" w:hAnsi="Times New Roman" w:cs="Times New Roman"/>
                <w:sz w:val="22"/>
                <w:szCs w:val="22"/>
              </w:rPr>
            </w:pPr>
            <w:r>
              <w:rPr>
                <w:rFonts w:ascii="Times New Roman" w:hAnsi="Times New Roman" w:cs="Times New Roman"/>
                <w:sz w:val="22"/>
                <w:szCs w:val="22"/>
              </w:rPr>
              <w:t>Año 2020</w:t>
            </w:r>
          </w:p>
        </w:tc>
        <w:tc>
          <w:tcPr>
            <w:tcW w:w="1945" w:type="dxa"/>
          </w:tcPr>
          <w:p w14:paraId="68257087" w14:textId="6BB20ACA" w:rsidR="00D50F25" w:rsidRPr="00077A67" w:rsidRDefault="009F22A9" w:rsidP="009F22A9">
            <w:pPr>
              <w:jc w:val="center"/>
              <w:rPr>
                <w:rFonts w:ascii="Times New Roman" w:hAnsi="Times New Roman" w:cs="Times New Roman"/>
                <w:sz w:val="22"/>
                <w:szCs w:val="22"/>
              </w:rPr>
            </w:pPr>
            <w:r>
              <w:rPr>
                <w:rFonts w:ascii="Times New Roman" w:hAnsi="Times New Roman" w:cs="Times New Roman"/>
                <w:sz w:val="22"/>
                <w:szCs w:val="22"/>
              </w:rPr>
              <w:t>1.070.889</w:t>
            </w:r>
          </w:p>
        </w:tc>
        <w:tc>
          <w:tcPr>
            <w:tcW w:w="2490" w:type="dxa"/>
          </w:tcPr>
          <w:p w14:paraId="7F5AEAF1" w14:textId="5F3E9138" w:rsidR="00D50F25" w:rsidRPr="00077A67" w:rsidRDefault="009F22A9" w:rsidP="009F22A9">
            <w:pPr>
              <w:jc w:val="center"/>
              <w:rPr>
                <w:rFonts w:ascii="Times New Roman" w:hAnsi="Times New Roman" w:cs="Times New Roman"/>
                <w:sz w:val="22"/>
                <w:szCs w:val="22"/>
              </w:rPr>
            </w:pPr>
            <w:r>
              <w:rPr>
                <w:rFonts w:ascii="Times New Roman" w:hAnsi="Times New Roman" w:cs="Times New Roman"/>
                <w:sz w:val="22"/>
                <w:szCs w:val="22"/>
              </w:rPr>
              <w:t>8</w:t>
            </w:r>
            <w:r w:rsidR="003D3B1B">
              <w:rPr>
                <w:rFonts w:ascii="Times New Roman" w:hAnsi="Times New Roman" w:cs="Times New Roman"/>
                <w:sz w:val="22"/>
                <w:szCs w:val="22"/>
              </w:rPr>
              <w:t>6</w:t>
            </w:r>
            <w:r>
              <w:rPr>
                <w:rFonts w:ascii="Times New Roman" w:hAnsi="Times New Roman" w:cs="Times New Roman"/>
                <w:sz w:val="22"/>
                <w:szCs w:val="22"/>
              </w:rPr>
              <w:t>2</w:t>
            </w:r>
            <w:r w:rsidR="00077A67" w:rsidRPr="00077A67">
              <w:rPr>
                <w:rFonts w:ascii="Times New Roman" w:hAnsi="Times New Roman" w:cs="Times New Roman"/>
                <w:sz w:val="22"/>
                <w:szCs w:val="22"/>
              </w:rPr>
              <w:t>.</w:t>
            </w:r>
            <w:r>
              <w:rPr>
                <w:rFonts w:ascii="Times New Roman" w:hAnsi="Times New Roman" w:cs="Times New Roman"/>
                <w:sz w:val="22"/>
                <w:szCs w:val="22"/>
              </w:rPr>
              <w:t>911</w:t>
            </w:r>
          </w:p>
        </w:tc>
        <w:tc>
          <w:tcPr>
            <w:tcW w:w="2384" w:type="dxa"/>
          </w:tcPr>
          <w:p w14:paraId="5DF42213" w14:textId="2E3961CD" w:rsidR="00D50F25" w:rsidRPr="00077A67" w:rsidRDefault="003D3B1B" w:rsidP="003D3B1B">
            <w:pPr>
              <w:jc w:val="center"/>
              <w:rPr>
                <w:rFonts w:ascii="Times New Roman" w:hAnsi="Times New Roman" w:cs="Times New Roman"/>
                <w:sz w:val="22"/>
                <w:szCs w:val="22"/>
              </w:rPr>
            </w:pPr>
            <w:r>
              <w:rPr>
                <w:rFonts w:ascii="Times New Roman" w:hAnsi="Times New Roman" w:cs="Times New Roman"/>
                <w:sz w:val="22"/>
                <w:szCs w:val="22"/>
              </w:rPr>
              <w:t>207</w:t>
            </w:r>
            <w:r w:rsidR="00D50F25" w:rsidRPr="00077A67">
              <w:rPr>
                <w:rFonts w:ascii="Times New Roman" w:hAnsi="Times New Roman" w:cs="Times New Roman"/>
                <w:sz w:val="22"/>
                <w:szCs w:val="22"/>
              </w:rPr>
              <w:t>.</w:t>
            </w:r>
            <w:r>
              <w:rPr>
                <w:rFonts w:ascii="Times New Roman" w:hAnsi="Times New Roman" w:cs="Times New Roman"/>
                <w:sz w:val="22"/>
                <w:szCs w:val="22"/>
              </w:rPr>
              <w:t>978</w:t>
            </w:r>
          </w:p>
        </w:tc>
      </w:tr>
      <w:tr w:rsidR="003D3B1B" w:rsidRPr="00077A67" w14:paraId="669A588A" w14:textId="77777777" w:rsidTr="003D3B1B">
        <w:tc>
          <w:tcPr>
            <w:tcW w:w="3143" w:type="dxa"/>
          </w:tcPr>
          <w:p w14:paraId="510CCE57" w14:textId="20598ADC" w:rsidR="003D3B1B" w:rsidRPr="00077A67" w:rsidRDefault="003D3B1B" w:rsidP="00921140">
            <w:pPr>
              <w:rPr>
                <w:rFonts w:ascii="Times New Roman" w:hAnsi="Times New Roman" w:cs="Times New Roman"/>
                <w:sz w:val="22"/>
                <w:szCs w:val="22"/>
              </w:rPr>
            </w:pPr>
            <w:r>
              <w:rPr>
                <w:rFonts w:ascii="Times New Roman" w:hAnsi="Times New Roman" w:cs="Times New Roman"/>
                <w:sz w:val="22"/>
                <w:szCs w:val="22"/>
              </w:rPr>
              <w:t>Año 2021</w:t>
            </w:r>
          </w:p>
        </w:tc>
        <w:tc>
          <w:tcPr>
            <w:tcW w:w="1945" w:type="dxa"/>
          </w:tcPr>
          <w:p w14:paraId="7354D04B" w14:textId="53D13AAB" w:rsidR="003D3B1B" w:rsidRPr="00077A67" w:rsidRDefault="003D3B1B" w:rsidP="009F22A9">
            <w:pPr>
              <w:jc w:val="center"/>
              <w:rPr>
                <w:rFonts w:ascii="Times New Roman" w:hAnsi="Times New Roman" w:cs="Times New Roman"/>
                <w:sz w:val="22"/>
                <w:szCs w:val="22"/>
              </w:rPr>
            </w:pPr>
            <w:r>
              <w:rPr>
                <w:rFonts w:ascii="Times New Roman" w:hAnsi="Times New Roman" w:cs="Times New Roman"/>
                <w:sz w:val="22"/>
                <w:szCs w:val="22"/>
              </w:rPr>
              <w:t>3</w:t>
            </w:r>
            <w:r w:rsidR="009F22A9">
              <w:rPr>
                <w:rFonts w:ascii="Times New Roman" w:hAnsi="Times New Roman" w:cs="Times New Roman"/>
                <w:sz w:val="22"/>
                <w:szCs w:val="22"/>
              </w:rPr>
              <w:t>03</w:t>
            </w:r>
            <w:r>
              <w:rPr>
                <w:rFonts w:ascii="Times New Roman" w:hAnsi="Times New Roman" w:cs="Times New Roman"/>
                <w:sz w:val="22"/>
                <w:szCs w:val="22"/>
              </w:rPr>
              <w:t>.8</w:t>
            </w:r>
            <w:r w:rsidR="009F22A9">
              <w:rPr>
                <w:rFonts w:ascii="Times New Roman" w:hAnsi="Times New Roman" w:cs="Times New Roman"/>
                <w:sz w:val="22"/>
                <w:szCs w:val="22"/>
              </w:rPr>
              <w:t>54</w:t>
            </w:r>
          </w:p>
        </w:tc>
        <w:tc>
          <w:tcPr>
            <w:tcW w:w="2490" w:type="dxa"/>
          </w:tcPr>
          <w:p w14:paraId="17C7D4A5" w14:textId="323FC576" w:rsidR="003D3B1B" w:rsidRPr="00077A67" w:rsidRDefault="009F22A9" w:rsidP="009F22A9">
            <w:pPr>
              <w:jc w:val="center"/>
              <w:rPr>
                <w:rFonts w:ascii="Times New Roman" w:hAnsi="Times New Roman" w:cs="Times New Roman"/>
                <w:sz w:val="22"/>
                <w:szCs w:val="22"/>
              </w:rPr>
            </w:pPr>
            <w:r>
              <w:rPr>
                <w:rFonts w:ascii="Times New Roman" w:hAnsi="Times New Roman" w:cs="Times New Roman"/>
                <w:sz w:val="22"/>
                <w:szCs w:val="22"/>
              </w:rPr>
              <w:t>239</w:t>
            </w:r>
            <w:r w:rsidR="003D3B1B">
              <w:rPr>
                <w:rFonts w:ascii="Times New Roman" w:hAnsi="Times New Roman" w:cs="Times New Roman"/>
                <w:sz w:val="22"/>
                <w:szCs w:val="22"/>
              </w:rPr>
              <w:t>.</w:t>
            </w:r>
            <w:r>
              <w:rPr>
                <w:rFonts w:ascii="Times New Roman" w:hAnsi="Times New Roman" w:cs="Times New Roman"/>
                <w:sz w:val="22"/>
                <w:szCs w:val="22"/>
              </w:rPr>
              <w:t>562</w:t>
            </w:r>
          </w:p>
        </w:tc>
        <w:tc>
          <w:tcPr>
            <w:tcW w:w="2384" w:type="dxa"/>
          </w:tcPr>
          <w:p w14:paraId="68357A1B" w14:textId="2AF62855" w:rsidR="003D3B1B" w:rsidRPr="00077A67" w:rsidRDefault="003D3B1B" w:rsidP="003D3B1B">
            <w:pPr>
              <w:jc w:val="center"/>
              <w:rPr>
                <w:rFonts w:ascii="Times New Roman" w:hAnsi="Times New Roman" w:cs="Times New Roman"/>
                <w:sz w:val="22"/>
                <w:szCs w:val="22"/>
              </w:rPr>
            </w:pPr>
            <w:r>
              <w:rPr>
                <w:rFonts w:ascii="Times New Roman" w:hAnsi="Times New Roman" w:cs="Times New Roman"/>
                <w:sz w:val="22"/>
                <w:szCs w:val="22"/>
              </w:rPr>
              <w:t>64</w:t>
            </w:r>
            <w:r w:rsidRPr="00077A67">
              <w:rPr>
                <w:rFonts w:ascii="Times New Roman" w:hAnsi="Times New Roman" w:cs="Times New Roman"/>
                <w:sz w:val="22"/>
                <w:szCs w:val="22"/>
              </w:rPr>
              <w:t>.</w:t>
            </w:r>
            <w:r>
              <w:rPr>
                <w:rFonts w:ascii="Times New Roman" w:hAnsi="Times New Roman" w:cs="Times New Roman"/>
                <w:sz w:val="22"/>
                <w:szCs w:val="22"/>
              </w:rPr>
              <w:t>291</w:t>
            </w:r>
          </w:p>
        </w:tc>
      </w:tr>
    </w:tbl>
    <w:p w14:paraId="267E8AC3" w14:textId="77777777" w:rsidR="0074159F" w:rsidRPr="00077A67" w:rsidRDefault="0074159F">
      <w:pPr>
        <w:rPr>
          <w:rFonts w:ascii="Times New Roman" w:hAnsi="Times New Roman" w:cs="Times New Roman"/>
          <w:sz w:val="22"/>
          <w:szCs w:val="22"/>
        </w:rPr>
      </w:pPr>
    </w:p>
    <w:p w14:paraId="5F9E2C96" w14:textId="77777777" w:rsidR="00AB1293" w:rsidRPr="00077A67" w:rsidRDefault="00AB1293">
      <w:pPr>
        <w:rPr>
          <w:rFonts w:ascii="Times New Roman" w:hAnsi="Times New Roman" w:cs="Times New Roman"/>
          <w:sz w:val="22"/>
          <w:szCs w:val="22"/>
        </w:rPr>
      </w:pPr>
    </w:p>
    <w:p w14:paraId="338707A0" w14:textId="77777777" w:rsidR="00CC6E97" w:rsidRDefault="00CC6E97">
      <w:pPr>
        <w:rPr>
          <w:rFonts w:ascii="Times New Roman" w:hAnsi="Times New Roman" w:cs="Times New Roman"/>
          <w:b/>
          <w:bCs/>
          <w:sz w:val="22"/>
          <w:szCs w:val="22"/>
        </w:rPr>
      </w:pPr>
    </w:p>
    <w:p w14:paraId="4E16AFC3" w14:textId="77777777" w:rsidR="00CC6E97" w:rsidRDefault="00CC6E97">
      <w:pPr>
        <w:rPr>
          <w:rFonts w:ascii="Times New Roman" w:hAnsi="Times New Roman" w:cs="Times New Roman"/>
          <w:b/>
          <w:bCs/>
          <w:sz w:val="22"/>
          <w:szCs w:val="22"/>
        </w:rPr>
      </w:pPr>
    </w:p>
    <w:p w14:paraId="522156D9" w14:textId="4336D180" w:rsidR="00AB1293" w:rsidRPr="00077A67" w:rsidRDefault="00511DD4">
      <w:pPr>
        <w:rPr>
          <w:rFonts w:ascii="Times New Roman" w:hAnsi="Times New Roman" w:cs="Times New Roman"/>
          <w:b/>
          <w:bCs/>
          <w:sz w:val="22"/>
          <w:szCs w:val="22"/>
        </w:rPr>
      </w:pPr>
      <w:r w:rsidRPr="00077A67">
        <w:rPr>
          <w:rFonts w:ascii="Times New Roman" w:hAnsi="Times New Roman" w:cs="Times New Roman"/>
          <w:b/>
          <w:bCs/>
          <w:sz w:val="22"/>
          <w:szCs w:val="22"/>
        </w:rPr>
        <w:lastRenderedPageBreak/>
        <w:t>1.2. Entidades del programa y enfoque de la auditoría:</w:t>
      </w:r>
    </w:p>
    <w:p w14:paraId="640DB34C" w14:textId="77777777" w:rsidR="00AB1293" w:rsidRPr="00077A67" w:rsidRDefault="00AB1293">
      <w:pPr>
        <w:rPr>
          <w:rFonts w:ascii="Times New Roman" w:hAnsi="Times New Roman" w:cs="Times New Roman"/>
          <w:sz w:val="22"/>
          <w:szCs w:val="22"/>
        </w:rPr>
      </w:pPr>
    </w:p>
    <w:p w14:paraId="02A24846"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Las organizaciones objeto de esta auditoría se resumen a continuación:</w:t>
      </w:r>
    </w:p>
    <w:p w14:paraId="26BB5C6E" w14:textId="5D459997" w:rsidR="00AB1293" w:rsidRDefault="00AB1293">
      <w:pPr>
        <w:rPr>
          <w:rFonts w:ascii="Times New Roman" w:hAnsi="Times New Roman" w:cs="Times New Roman"/>
          <w:sz w:val="22"/>
          <w:szCs w:val="22"/>
        </w:rPr>
      </w:pPr>
    </w:p>
    <w:tbl>
      <w:tblPr>
        <w:tblW w:w="10432" w:type="dxa"/>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1894"/>
        <w:gridCol w:w="1727"/>
        <w:gridCol w:w="1393"/>
        <w:gridCol w:w="1852"/>
        <w:gridCol w:w="2029"/>
        <w:gridCol w:w="1537"/>
      </w:tblGrid>
      <w:tr w:rsidR="00AB1293" w:rsidRPr="00077A67" w14:paraId="14E1E379" w14:textId="77777777" w:rsidTr="00954A90">
        <w:tc>
          <w:tcPr>
            <w:tcW w:w="1894" w:type="dxa"/>
            <w:tcBorders>
              <w:top w:val="single" w:sz="2" w:space="0" w:color="000000"/>
              <w:left w:val="single" w:sz="2" w:space="0" w:color="000000"/>
              <w:bottom w:val="single" w:sz="2" w:space="0" w:color="000000"/>
              <w:right w:val="nil"/>
            </w:tcBorders>
            <w:shd w:val="clear" w:color="auto" w:fill="auto"/>
            <w:tcMar>
              <w:left w:w="54" w:type="dxa"/>
            </w:tcMar>
          </w:tcPr>
          <w:p w14:paraId="7CD5A7E0"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ORGANIZACIÓN</w:t>
            </w:r>
          </w:p>
        </w:tc>
        <w:tc>
          <w:tcPr>
            <w:tcW w:w="1727" w:type="dxa"/>
            <w:tcBorders>
              <w:top w:val="single" w:sz="2" w:space="0" w:color="000000"/>
              <w:left w:val="single" w:sz="2" w:space="0" w:color="000000"/>
              <w:bottom w:val="single" w:sz="2" w:space="0" w:color="000000"/>
              <w:right w:val="nil"/>
            </w:tcBorders>
            <w:shd w:val="clear" w:color="auto" w:fill="auto"/>
            <w:tcMar>
              <w:left w:w="54" w:type="dxa"/>
            </w:tcMar>
          </w:tcPr>
          <w:p w14:paraId="2B962AE5"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CÉDULA JURÍDICA</w:t>
            </w:r>
          </w:p>
        </w:tc>
        <w:tc>
          <w:tcPr>
            <w:tcW w:w="1393" w:type="dxa"/>
            <w:tcBorders>
              <w:top w:val="single" w:sz="2" w:space="0" w:color="000000"/>
              <w:left w:val="single" w:sz="2" w:space="0" w:color="000000"/>
              <w:bottom w:val="single" w:sz="2" w:space="0" w:color="000000"/>
              <w:right w:val="nil"/>
            </w:tcBorders>
            <w:shd w:val="clear" w:color="auto" w:fill="auto"/>
            <w:tcMar>
              <w:left w:w="54" w:type="dxa"/>
            </w:tcMar>
          </w:tcPr>
          <w:p w14:paraId="3AF86A09"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ALCANCE DE LA AUDITORÍA</w:t>
            </w:r>
          </w:p>
        </w:tc>
        <w:tc>
          <w:tcPr>
            <w:tcW w:w="1852" w:type="dxa"/>
            <w:tcBorders>
              <w:top w:val="single" w:sz="2" w:space="0" w:color="000000"/>
              <w:left w:val="single" w:sz="2" w:space="0" w:color="000000"/>
              <w:bottom w:val="single" w:sz="2" w:space="0" w:color="000000"/>
              <w:right w:val="nil"/>
            </w:tcBorders>
            <w:shd w:val="clear" w:color="auto" w:fill="auto"/>
            <w:tcMar>
              <w:left w:w="54" w:type="dxa"/>
            </w:tcMar>
          </w:tcPr>
          <w:p w14:paraId="6708A2C0"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ACTIVIDADES FINANCIADAS</w:t>
            </w:r>
          </w:p>
        </w:tc>
        <w:tc>
          <w:tcPr>
            <w:tcW w:w="2029" w:type="dxa"/>
            <w:tcBorders>
              <w:top w:val="single" w:sz="2" w:space="0" w:color="000000"/>
              <w:left w:val="single" w:sz="2" w:space="0" w:color="000000"/>
              <w:bottom w:val="single" w:sz="2" w:space="0" w:color="000000"/>
              <w:right w:val="nil"/>
            </w:tcBorders>
            <w:shd w:val="clear" w:color="auto" w:fill="auto"/>
            <w:tcMar>
              <w:left w:w="54" w:type="dxa"/>
            </w:tcMar>
          </w:tcPr>
          <w:p w14:paraId="51588487"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MONTO PRESUPUESTADO</w:t>
            </w:r>
          </w:p>
        </w:tc>
        <w:tc>
          <w:tcPr>
            <w:tcW w:w="153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BE114A5" w14:textId="77777777" w:rsidR="00AB1293" w:rsidRPr="00C1185E" w:rsidRDefault="00511DD4">
            <w:pPr>
              <w:pStyle w:val="Contenidodelatabla"/>
              <w:jc w:val="center"/>
              <w:rPr>
                <w:rFonts w:ascii="Times New Roman" w:hAnsi="Times New Roman" w:cs="Times New Roman"/>
                <w:b/>
                <w:sz w:val="22"/>
                <w:szCs w:val="22"/>
              </w:rPr>
            </w:pPr>
            <w:r w:rsidRPr="00C1185E">
              <w:rPr>
                <w:rFonts w:ascii="Times New Roman" w:hAnsi="Times New Roman" w:cs="Times New Roman"/>
                <w:b/>
                <w:sz w:val="22"/>
                <w:szCs w:val="22"/>
              </w:rPr>
              <w:t>MONTO GASTADO</w:t>
            </w:r>
          </w:p>
        </w:tc>
      </w:tr>
      <w:tr w:rsidR="00AB1293" w:rsidRPr="00077A67" w14:paraId="59E162B5" w14:textId="77777777" w:rsidTr="00954A90">
        <w:tc>
          <w:tcPr>
            <w:tcW w:w="1894" w:type="dxa"/>
            <w:tcBorders>
              <w:top w:val="nil"/>
              <w:left w:val="single" w:sz="2" w:space="0" w:color="000000"/>
              <w:bottom w:val="single" w:sz="2" w:space="0" w:color="000000"/>
              <w:right w:val="nil"/>
            </w:tcBorders>
            <w:shd w:val="clear" w:color="auto" w:fill="auto"/>
            <w:tcMar>
              <w:left w:w="54" w:type="dxa"/>
            </w:tcMar>
          </w:tcPr>
          <w:p w14:paraId="38E05127" w14:textId="77777777" w:rsidR="00AB1293" w:rsidRPr="00077A67" w:rsidRDefault="009F40D2">
            <w:pPr>
              <w:pStyle w:val="Contenidodelatabla"/>
              <w:rPr>
                <w:rFonts w:ascii="Times New Roman" w:hAnsi="Times New Roman" w:cs="Times New Roman"/>
                <w:sz w:val="22"/>
                <w:szCs w:val="22"/>
              </w:rPr>
            </w:pPr>
            <w:r>
              <w:rPr>
                <w:rFonts w:ascii="Times New Roman" w:hAnsi="Times New Roman" w:cs="Times New Roman"/>
                <w:sz w:val="22"/>
                <w:szCs w:val="22"/>
              </w:rPr>
              <w:t>Hivos</w:t>
            </w:r>
          </w:p>
        </w:tc>
        <w:tc>
          <w:tcPr>
            <w:tcW w:w="1727" w:type="dxa"/>
            <w:tcBorders>
              <w:top w:val="nil"/>
              <w:left w:val="single" w:sz="2" w:space="0" w:color="000000"/>
              <w:bottom w:val="single" w:sz="2" w:space="0" w:color="000000"/>
              <w:right w:val="nil"/>
            </w:tcBorders>
            <w:shd w:val="clear" w:color="auto" w:fill="auto"/>
            <w:tcMar>
              <w:left w:w="54" w:type="dxa"/>
            </w:tcMar>
          </w:tcPr>
          <w:p w14:paraId="109627DA" w14:textId="77777777" w:rsidR="00AB1293" w:rsidRPr="00077A67" w:rsidRDefault="009F40D2">
            <w:pPr>
              <w:pStyle w:val="Contenidodelatabla"/>
              <w:rPr>
                <w:rFonts w:ascii="Times New Roman" w:hAnsi="Times New Roman" w:cs="Times New Roman"/>
                <w:sz w:val="22"/>
                <w:szCs w:val="22"/>
              </w:rPr>
            </w:pPr>
            <w:r>
              <w:rPr>
                <w:rFonts w:ascii="Times New Roman" w:hAnsi="Times New Roman" w:cs="Times New Roman"/>
                <w:sz w:val="22"/>
                <w:szCs w:val="22"/>
              </w:rPr>
              <w:t>3-012-151595</w:t>
            </w:r>
          </w:p>
        </w:tc>
        <w:tc>
          <w:tcPr>
            <w:tcW w:w="1393" w:type="dxa"/>
            <w:tcBorders>
              <w:top w:val="nil"/>
              <w:left w:val="single" w:sz="2" w:space="0" w:color="000000"/>
              <w:bottom w:val="single" w:sz="2" w:space="0" w:color="000000"/>
              <w:right w:val="nil"/>
            </w:tcBorders>
            <w:shd w:val="clear" w:color="auto" w:fill="auto"/>
            <w:tcMar>
              <w:left w:w="54" w:type="dxa"/>
            </w:tcMar>
          </w:tcPr>
          <w:p w14:paraId="6B839223" w14:textId="4147AE05" w:rsidR="00AB1293" w:rsidRPr="00077A67" w:rsidRDefault="003D3B1B" w:rsidP="00954A90">
            <w:pPr>
              <w:pStyle w:val="Contenidodelatabla"/>
              <w:rPr>
                <w:rFonts w:ascii="Times New Roman" w:hAnsi="Times New Roman" w:cs="Times New Roman"/>
                <w:sz w:val="22"/>
                <w:szCs w:val="22"/>
              </w:rPr>
            </w:pPr>
            <w:r>
              <w:rPr>
                <w:rFonts w:ascii="Times New Roman" w:hAnsi="Times New Roman" w:cs="Times New Roman"/>
                <w:sz w:val="22"/>
                <w:szCs w:val="22"/>
              </w:rPr>
              <w:t>Enero</w:t>
            </w:r>
            <w:r w:rsidR="00431E96">
              <w:rPr>
                <w:rFonts w:ascii="Times New Roman" w:hAnsi="Times New Roman" w:cs="Times New Roman"/>
                <w:sz w:val="22"/>
                <w:szCs w:val="22"/>
              </w:rPr>
              <w:t xml:space="preserve"> </w:t>
            </w:r>
            <w:r w:rsidR="00954A90">
              <w:rPr>
                <w:rFonts w:ascii="Times New Roman" w:hAnsi="Times New Roman" w:cs="Times New Roman"/>
                <w:sz w:val="22"/>
                <w:szCs w:val="22"/>
              </w:rPr>
              <w:t>a diciembre 2020</w:t>
            </w:r>
          </w:p>
        </w:tc>
        <w:tc>
          <w:tcPr>
            <w:tcW w:w="1852" w:type="dxa"/>
            <w:tcBorders>
              <w:top w:val="nil"/>
              <w:left w:val="single" w:sz="2" w:space="0" w:color="000000"/>
              <w:bottom w:val="single" w:sz="2" w:space="0" w:color="000000"/>
              <w:right w:val="nil"/>
            </w:tcBorders>
            <w:shd w:val="clear" w:color="auto" w:fill="auto"/>
            <w:tcMar>
              <w:left w:w="54" w:type="dxa"/>
            </w:tcMar>
          </w:tcPr>
          <w:p w14:paraId="318A2E8B" w14:textId="77777777" w:rsidR="00AB1293" w:rsidRPr="00077A67" w:rsidRDefault="009F40D2">
            <w:pPr>
              <w:pStyle w:val="Contenidodelatabla"/>
              <w:rPr>
                <w:rFonts w:ascii="Times New Roman" w:hAnsi="Times New Roman" w:cs="Times New Roman"/>
                <w:sz w:val="22"/>
                <w:szCs w:val="22"/>
              </w:rPr>
            </w:pPr>
            <w:r>
              <w:rPr>
                <w:rFonts w:ascii="Times New Roman" w:hAnsi="Times New Roman" w:cs="Times New Roman"/>
                <w:sz w:val="22"/>
                <w:szCs w:val="22"/>
              </w:rPr>
              <w:t>Todas según presupuesto</w:t>
            </w:r>
          </w:p>
        </w:tc>
        <w:tc>
          <w:tcPr>
            <w:tcW w:w="2029" w:type="dxa"/>
            <w:tcBorders>
              <w:top w:val="nil"/>
              <w:left w:val="single" w:sz="2" w:space="0" w:color="000000"/>
              <w:bottom w:val="single" w:sz="2" w:space="0" w:color="000000"/>
              <w:right w:val="nil"/>
            </w:tcBorders>
            <w:shd w:val="clear" w:color="auto" w:fill="auto"/>
            <w:tcMar>
              <w:left w:w="54" w:type="dxa"/>
            </w:tcMar>
          </w:tcPr>
          <w:p w14:paraId="1D285EA5" w14:textId="78CBA15E" w:rsidR="00AB1293" w:rsidRPr="00077A67" w:rsidRDefault="00CC6E97" w:rsidP="00954A90">
            <w:pPr>
              <w:pStyle w:val="Contenidodelatabla"/>
              <w:jc w:val="center"/>
              <w:rPr>
                <w:rFonts w:ascii="Times New Roman" w:hAnsi="Times New Roman" w:cs="Times New Roman"/>
                <w:sz w:val="22"/>
                <w:szCs w:val="22"/>
              </w:rPr>
            </w:pPr>
            <w:r w:rsidRPr="000B7FAD">
              <w:rPr>
                <w:rFonts w:ascii="Times New Roman" w:hAnsi="Times New Roman" w:cs="Times New Roman"/>
                <w:szCs w:val="22"/>
              </w:rPr>
              <w:t>$</w:t>
            </w:r>
            <w:r w:rsidR="00954A90">
              <w:rPr>
                <w:rFonts w:ascii="Times New Roman" w:hAnsi="Times New Roman" w:cs="Times New Roman"/>
                <w:szCs w:val="22"/>
              </w:rPr>
              <w:t>86</w:t>
            </w:r>
            <w:r>
              <w:rPr>
                <w:rFonts w:ascii="Times New Roman" w:hAnsi="Times New Roman" w:cs="Times New Roman"/>
                <w:sz w:val="22"/>
                <w:szCs w:val="22"/>
              </w:rPr>
              <w:t>2.</w:t>
            </w:r>
            <w:r w:rsidR="00954A90">
              <w:rPr>
                <w:rFonts w:ascii="Times New Roman" w:hAnsi="Times New Roman" w:cs="Times New Roman"/>
                <w:sz w:val="22"/>
                <w:szCs w:val="22"/>
              </w:rPr>
              <w:t>911</w:t>
            </w:r>
          </w:p>
        </w:tc>
        <w:tc>
          <w:tcPr>
            <w:tcW w:w="1537" w:type="dxa"/>
            <w:tcBorders>
              <w:top w:val="nil"/>
              <w:left w:val="single" w:sz="2" w:space="0" w:color="000000"/>
              <w:bottom w:val="single" w:sz="2" w:space="0" w:color="000000"/>
              <w:right w:val="single" w:sz="2" w:space="0" w:color="000000"/>
            </w:tcBorders>
            <w:shd w:val="clear" w:color="auto" w:fill="auto"/>
            <w:tcMar>
              <w:left w:w="54" w:type="dxa"/>
            </w:tcMar>
          </w:tcPr>
          <w:p w14:paraId="30C392BE" w14:textId="77777777" w:rsidR="00AB1293" w:rsidRPr="00077A67" w:rsidRDefault="00431E96">
            <w:pPr>
              <w:pStyle w:val="Contenidodelatabla"/>
              <w:rPr>
                <w:rFonts w:ascii="Times New Roman" w:hAnsi="Times New Roman" w:cs="Times New Roman"/>
                <w:sz w:val="22"/>
                <w:szCs w:val="22"/>
              </w:rPr>
            </w:pPr>
            <w:r>
              <w:rPr>
                <w:rFonts w:ascii="Times New Roman" w:hAnsi="Times New Roman" w:cs="Times New Roman"/>
                <w:sz w:val="22"/>
                <w:szCs w:val="22"/>
              </w:rPr>
              <w:t>No disponible a la fecha</w:t>
            </w:r>
          </w:p>
        </w:tc>
      </w:tr>
      <w:tr w:rsidR="00954A90" w:rsidRPr="00077A67" w14:paraId="7DFA0EAE" w14:textId="77777777" w:rsidTr="00954A90">
        <w:trPr>
          <w:trHeight w:val="875"/>
        </w:trPr>
        <w:tc>
          <w:tcPr>
            <w:tcW w:w="1894" w:type="dxa"/>
            <w:tcBorders>
              <w:top w:val="nil"/>
              <w:left w:val="single" w:sz="2" w:space="0" w:color="000000"/>
              <w:bottom w:val="single" w:sz="2" w:space="0" w:color="000000"/>
              <w:right w:val="nil"/>
            </w:tcBorders>
            <w:shd w:val="clear" w:color="auto" w:fill="auto"/>
            <w:tcMar>
              <w:left w:w="54" w:type="dxa"/>
            </w:tcMar>
          </w:tcPr>
          <w:p w14:paraId="369491DF" w14:textId="6443A993" w:rsidR="00954A90" w:rsidRPr="00077A67" w:rsidRDefault="00954A90" w:rsidP="00954A90">
            <w:pPr>
              <w:pStyle w:val="Contenidodelatabla"/>
              <w:rPr>
                <w:rFonts w:ascii="Times New Roman" w:hAnsi="Times New Roman" w:cs="Times New Roman"/>
                <w:sz w:val="22"/>
                <w:szCs w:val="22"/>
              </w:rPr>
            </w:pPr>
            <w:r>
              <w:rPr>
                <w:rFonts w:ascii="Times New Roman" w:hAnsi="Times New Roman" w:cs="Times New Roman"/>
                <w:szCs w:val="22"/>
              </w:rPr>
              <w:t>Asociación Demográfica Costarricense</w:t>
            </w:r>
          </w:p>
        </w:tc>
        <w:tc>
          <w:tcPr>
            <w:tcW w:w="1727" w:type="dxa"/>
            <w:tcBorders>
              <w:top w:val="nil"/>
              <w:left w:val="single" w:sz="2" w:space="0" w:color="000000"/>
              <w:bottom w:val="single" w:sz="2" w:space="0" w:color="000000"/>
              <w:right w:val="nil"/>
            </w:tcBorders>
            <w:shd w:val="clear" w:color="auto" w:fill="auto"/>
            <w:tcMar>
              <w:left w:w="54" w:type="dxa"/>
            </w:tcMar>
          </w:tcPr>
          <w:p w14:paraId="7CACE2DD" w14:textId="2251FFFC" w:rsidR="00954A90" w:rsidRPr="00077A67" w:rsidRDefault="00954A90" w:rsidP="00954A90">
            <w:pPr>
              <w:pStyle w:val="Contenidodelatabla"/>
              <w:rPr>
                <w:rFonts w:ascii="Times New Roman" w:hAnsi="Times New Roman" w:cs="Times New Roman"/>
                <w:sz w:val="22"/>
                <w:szCs w:val="22"/>
              </w:rPr>
            </w:pPr>
            <w:r w:rsidRPr="00BA4D06">
              <w:rPr>
                <w:rFonts w:ascii="Times New Roman" w:hAnsi="Times New Roman" w:cs="Times New Roman"/>
                <w:szCs w:val="22"/>
              </w:rPr>
              <w:t>3-002-045069</w:t>
            </w:r>
          </w:p>
        </w:tc>
        <w:tc>
          <w:tcPr>
            <w:tcW w:w="1393" w:type="dxa"/>
            <w:tcBorders>
              <w:top w:val="nil"/>
              <w:left w:val="single" w:sz="2" w:space="0" w:color="000000"/>
              <w:bottom w:val="single" w:sz="2" w:space="0" w:color="000000"/>
              <w:right w:val="nil"/>
            </w:tcBorders>
            <w:shd w:val="clear" w:color="auto" w:fill="auto"/>
            <w:tcMar>
              <w:left w:w="54" w:type="dxa"/>
            </w:tcMar>
          </w:tcPr>
          <w:p w14:paraId="0F8823BC" w14:textId="3CFF56F7" w:rsidR="00954A90" w:rsidRPr="00077A67" w:rsidRDefault="00954A90" w:rsidP="00954A90">
            <w:pPr>
              <w:pStyle w:val="Contenidodelatabla"/>
              <w:rPr>
                <w:rFonts w:ascii="Times New Roman" w:hAnsi="Times New Roman" w:cs="Times New Roman"/>
                <w:sz w:val="22"/>
                <w:szCs w:val="22"/>
              </w:rPr>
            </w:pPr>
            <w:r>
              <w:rPr>
                <w:rFonts w:ascii="Times New Roman" w:hAnsi="Times New Roman" w:cs="Times New Roman"/>
                <w:sz w:val="22"/>
                <w:szCs w:val="22"/>
              </w:rPr>
              <w:t>Enero a diciembre 2020</w:t>
            </w:r>
          </w:p>
        </w:tc>
        <w:tc>
          <w:tcPr>
            <w:tcW w:w="1852" w:type="dxa"/>
            <w:tcBorders>
              <w:top w:val="nil"/>
              <w:left w:val="single" w:sz="2" w:space="0" w:color="000000"/>
              <w:bottom w:val="single" w:sz="2" w:space="0" w:color="000000"/>
              <w:right w:val="nil"/>
            </w:tcBorders>
            <w:shd w:val="clear" w:color="auto" w:fill="auto"/>
            <w:tcMar>
              <w:left w:w="54" w:type="dxa"/>
            </w:tcMar>
          </w:tcPr>
          <w:p w14:paraId="74CFA90D" w14:textId="614AD237" w:rsidR="00954A90" w:rsidRPr="00077A67" w:rsidRDefault="00954A90" w:rsidP="00954A90">
            <w:pPr>
              <w:pStyle w:val="Contenidodelatabla"/>
              <w:rPr>
                <w:rFonts w:ascii="Times New Roman" w:hAnsi="Times New Roman" w:cs="Times New Roman"/>
                <w:sz w:val="22"/>
                <w:szCs w:val="22"/>
              </w:rPr>
            </w:pPr>
            <w:r>
              <w:rPr>
                <w:rFonts w:ascii="Times New Roman" w:hAnsi="Times New Roman" w:cs="Times New Roman"/>
                <w:szCs w:val="22"/>
              </w:rPr>
              <w:t>Todas según presupuesto</w:t>
            </w:r>
          </w:p>
        </w:tc>
        <w:tc>
          <w:tcPr>
            <w:tcW w:w="2029" w:type="dxa"/>
            <w:tcBorders>
              <w:top w:val="nil"/>
              <w:left w:val="single" w:sz="2" w:space="0" w:color="000000"/>
              <w:bottom w:val="single" w:sz="2" w:space="0" w:color="000000"/>
              <w:right w:val="nil"/>
            </w:tcBorders>
            <w:shd w:val="clear" w:color="auto" w:fill="auto"/>
            <w:tcMar>
              <w:left w:w="54" w:type="dxa"/>
            </w:tcMar>
          </w:tcPr>
          <w:p w14:paraId="5D955C0B" w14:textId="02AF5E7A" w:rsidR="00954A90" w:rsidRPr="00077A67" w:rsidRDefault="00954A90" w:rsidP="00954A90">
            <w:pPr>
              <w:pStyle w:val="Contenidodelatabla"/>
              <w:jc w:val="center"/>
              <w:rPr>
                <w:rFonts w:ascii="Times New Roman" w:hAnsi="Times New Roman" w:cs="Times New Roman"/>
                <w:sz w:val="22"/>
                <w:szCs w:val="22"/>
              </w:rPr>
            </w:pPr>
            <w:r w:rsidRPr="000B7FAD">
              <w:rPr>
                <w:rFonts w:ascii="Times New Roman" w:hAnsi="Times New Roman" w:cs="Times New Roman"/>
                <w:szCs w:val="22"/>
              </w:rPr>
              <w:t>$</w:t>
            </w:r>
            <w:r>
              <w:rPr>
                <w:rFonts w:ascii="Times New Roman" w:hAnsi="Times New Roman" w:cs="Times New Roman"/>
                <w:szCs w:val="22"/>
              </w:rPr>
              <w:t>53</w:t>
            </w:r>
            <w:r w:rsidRPr="000B7FAD">
              <w:rPr>
                <w:rFonts w:ascii="Times New Roman" w:hAnsi="Times New Roman" w:cs="Times New Roman"/>
                <w:szCs w:val="22"/>
              </w:rPr>
              <w:t>.</w:t>
            </w:r>
            <w:r>
              <w:rPr>
                <w:rFonts w:ascii="Times New Roman" w:hAnsi="Times New Roman" w:cs="Times New Roman"/>
                <w:szCs w:val="22"/>
              </w:rPr>
              <w:t>652</w:t>
            </w:r>
          </w:p>
        </w:tc>
        <w:tc>
          <w:tcPr>
            <w:tcW w:w="1537" w:type="dxa"/>
            <w:tcBorders>
              <w:top w:val="nil"/>
              <w:left w:val="single" w:sz="2" w:space="0" w:color="000000"/>
              <w:bottom w:val="single" w:sz="2" w:space="0" w:color="000000"/>
              <w:right w:val="single" w:sz="2" w:space="0" w:color="000000"/>
            </w:tcBorders>
            <w:shd w:val="clear" w:color="auto" w:fill="auto"/>
            <w:tcMar>
              <w:left w:w="54" w:type="dxa"/>
            </w:tcMar>
          </w:tcPr>
          <w:p w14:paraId="45F909CE" w14:textId="538DC00E" w:rsidR="00954A90" w:rsidRPr="00077A67" w:rsidRDefault="00954A90" w:rsidP="00954A90">
            <w:pPr>
              <w:pStyle w:val="Contenidodelatabla"/>
              <w:rPr>
                <w:rFonts w:ascii="Times New Roman" w:hAnsi="Times New Roman" w:cs="Times New Roman"/>
                <w:sz w:val="22"/>
                <w:szCs w:val="22"/>
              </w:rPr>
            </w:pPr>
            <w:r>
              <w:rPr>
                <w:rFonts w:ascii="Times New Roman" w:hAnsi="Times New Roman" w:cs="Times New Roman"/>
                <w:szCs w:val="22"/>
              </w:rPr>
              <w:t>No disponible a la fecha</w:t>
            </w:r>
          </w:p>
        </w:tc>
      </w:tr>
      <w:tr w:rsidR="00954A90" w14:paraId="66B286A1" w14:textId="77777777" w:rsidTr="00954A90">
        <w:tc>
          <w:tcPr>
            <w:tcW w:w="1894" w:type="dxa"/>
            <w:tcBorders>
              <w:top w:val="nil"/>
              <w:left w:val="single" w:sz="2" w:space="0" w:color="000000"/>
              <w:bottom w:val="single" w:sz="2" w:space="0" w:color="000000"/>
              <w:right w:val="nil"/>
            </w:tcBorders>
            <w:shd w:val="clear" w:color="auto" w:fill="auto"/>
            <w:tcMar>
              <w:left w:w="54" w:type="dxa"/>
            </w:tcMar>
          </w:tcPr>
          <w:p w14:paraId="71DB09DD"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Asociación Esperanza Viva</w:t>
            </w:r>
          </w:p>
        </w:tc>
        <w:tc>
          <w:tcPr>
            <w:tcW w:w="1727" w:type="dxa"/>
            <w:tcBorders>
              <w:top w:val="nil"/>
              <w:left w:val="single" w:sz="2" w:space="0" w:color="000000"/>
              <w:bottom w:val="single" w:sz="2" w:space="0" w:color="000000"/>
              <w:right w:val="nil"/>
            </w:tcBorders>
            <w:shd w:val="clear" w:color="auto" w:fill="auto"/>
            <w:tcMar>
              <w:left w:w="54" w:type="dxa"/>
            </w:tcMar>
          </w:tcPr>
          <w:p w14:paraId="7B1656F9"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3-002-723337</w:t>
            </w:r>
          </w:p>
        </w:tc>
        <w:tc>
          <w:tcPr>
            <w:tcW w:w="1393" w:type="dxa"/>
            <w:tcBorders>
              <w:top w:val="nil"/>
              <w:left w:val="single" w:sz="2" w:space="0" w:color="000000"/>
              <w:bottom w:val="single" w:sz="2" w:space="0" w:color="000000"/>
              <w:right w:val="nil"/>
            </w:tcBorders>
            <w:shd w:val="clear" w:color="auto" w:fill="auto"/>
            <w:tcMar>
              <w:left w:w="54" w:type="dxa"/>
            </w:tcMar>
          </w:tcPr>
          <w:p w14:paraId="231379AE" w14:textId="7B1ACE0B" w:rsidR="00954A90" w:rsidRDefault="00954A90" w:rsidP="00954A90">
            <w:pPr>
              <w:pStyle w:val="Contenidodelatabla"/>
              <w:rPr>
                <w:rFonts w:ascii="Times New Roman" w:hAnsi="Times New Roman" w:cs="Times New Roman"/>
                <w:szCs w:val="22"/>
              </w:rPr>
            </w:pPr>
            <w:r>
              <w:rPr>
                <w:rFonts w:ascii="Times New Roman" w:hAnsi="Times New Roman" w:cs="Times New Roman"/>
                <w:sz w:val="22"/>
                <w:szCs w:val="22"/>
              </w:rPr>
              <w:t>Enero a diciembre 2020</w:t>
            </w:r>
          </w:p>
        </w:tc>
        <w:tc>
          <w:tcPr>
            <w:tcW w:w="1852" w:type="dxa"/>
            <w:tcBorders>
              <w:top w:val="nil"/>
              <w:left w:val="single" w:sz="2" w:space="0" w:color="000000"/>
              <w:bottom w:val="single" w:sz="2" w:space="0" w:color="000000"/>
              <w:right w:val="nil"/>
            </w:tcBorders>
            <w:shd w:val="clear" w:color="auto" w:fill="auto"/>
            <w:tcMar>
              <w:left w:w="54" w:type="dxa"/>
            </w:tcMar>
          </w:tcPr>
          <w:p w14:paraId="3D2FDF5A"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Todas según presupuesto</w:t>
            </w:r>
          </w:p>
        </w:tc>
        <w:tc>
          <w:tcPr>
            <w:tcW w:w="2029" w:type="dxa"/>
            <w:tcBorders>
              <w:top w:val="nil"/>
              <w:left w:val="single" w:sz="2" w:space="0" w:color="000000"/>
              <w:bottom w:val="single" w:sz="2" w:space="0" w:color="000000"/>
              <w:right w:val="nil"/>
            </w:tcBorders>
            <w:shd w:val="clear" w:color="auto" w:fill="auto"/>
            <w:tcMar>
              <w:left w:w="54" w:type="dxa"/>
            </w:tcMar>
          </w:tcPr>
          <w:p w14:paraId="7098630C" w14:textId="7449D93E" w:rsidR="00954A90" w:rsidRPr="00077A67" w:rsidRDefault="00954A90" w:rsidP="00954A90">
            <w:pPr>
              <w:pStyle w:val="Contenidodelatabla"/>
              <w:jc w:val="center"/>
              <w:rPr>
                <w:rFonts w:ascii="Times New Roman" w:hAnsi="Times New Roman" w:cs="Times New Roman"/>
                <w:szCs w:val="22"/>
              </w:rPr>
            </w:pPr>
            <w:r w:rsidRPr="000B7FAD">
              <w:rPr>
                <w:rFonts w:ascii="Times New Roman" w:hAnsi="Times New Roman" w:cs="Times New Roman"/>
                <w:szCs w:val="22"/>
              </w:rPr>
              <w:t>$</w:t>
            </w:r>
            <w:r>
              <w:rPr>
                <w:rFonts w:ascii="Times New Roman" w:hAnsi="Times New Roman" w:cs="Times New Roman"/>
                <w:szCs w:val="22"/>
              </w:rPr>
              <w:t>53</w:t>
            </w:r>
            <w:r w:rsidRPr="000B7FAD">
              <w:rPr>
                <w:rFonts w:ascii="Times New Roman" w:hAnsi="Times New Roman" w:cs="Times New Roman"/>
                <w:szCs w:val="22"/>
              </w:rPr>
              <w:t>.</w:t>
            </w:r>
            <w:r>
              <w:rPr>
                <w:rFonts w:ascii="Times New Roman" w:hAnsi="Times New Roman" w:cs="Times New Roman"/>
                <w:szCs w:val="22"/>
              </w:rPr>
              <w:t>652</w:t>
            </w:r>
          </w:p>
        </w:tc>
        <w:tc>
          <w:tcPr>
            <w:tcW w:w="1537" w:type="dxa"/>
            <w:tcBorders>
              <w:top w:val="nil"/>
              <w:left w:val="single" w:sz="2" w:space="0" w:color="000000"/>
              <w:bottom w:val="single" w:sz="2" w:space="0" w:color="000000"/>
              <w:right w:val="single" w:sz="2" w:space="0" w:color="000000"/>
            </w:tcBorders>
            <w:shd w:val="clear" w:color="auto" w:fill="auto"/>
            <w:tcMar>
              <w:left w:w="54" w:type="dxa"/>
            </w:tcMar>
          </w:tcPr>
          <w:p w14:paraId="211CBE05"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No disponible a la fecha</w:t>
            </w:r>
          </w:p>
        </w:tc>
      </w:tr>
      <w:tr w:rsidR="00954A90" w14:paraId="14C98847" w14:textId="77777777" w:rsidTr="00954A90">
        <w:tc>
          <w:tcPr>
            <w:tcW w:w="1894" w:type="dxa"/>
            <w:tcBorders>
              <w:top w:val="nil"/>
              <w:left w:val="single" w:sz="2" w:space="0" w:color="000000"/>
              <w:bottom w:val="single" w:sz="2" w:space="0" w:color="000000"/>
              <w:right w:val="nil"/>
            </w:tcBorders>
            <w:shd w:val="clear" w:color="auto" w:fill="auto"/>
            <w:tcMar>
              <w:left w:w="54" w:type="dxa"/>
            </w:tcMar>
          </w:tcPr>
          <w:p w14:paraId="6B99EEBF" w14:textId="1BDC1965" w:rsidR="00954A90" w:rsidRDefault="00EA667B" w:rsidP="00954A90">
            <w:pPr>
              <w:pStyle w:val="Contenidodelatabla"/>
              <w:rPr>
                <w:rFonts w:ascii="Times New Roman" w:hAnsi="Times New Roman" w:cs="Times New Roman"/>
                <w:szCs w:val="22"/>
              </w:rPr>
            </w:pPr>
            <w:r>
              <w:rPr>
                <w:rFonts w:ascii="Times New Roman" w:hAnsi="Times New Roman" w:cs="Times New Roman"/>
                <w:szCs w:val="22"/>
              </w:rPr>
              <w:t xml:space="preserve">Asociación </w:t>
            </w:r>
            <w:r w:rsidR="00954A90">
              <w:rPr>
                <w:rFonts w:ascii="Times New Roman" w:hAnsi="Times New Roman" w:cs="Times New Roman"/>
                <w:szCs w:val="22"/>
              </w:rPr>
              <w:t>Transvida</w:t>
            </w:r>
          </w:p>
        </w:tc>
        <w:tc>
          <w:tcPr>
            <w:tcW w:w="1727" w:type="dxa"/>
            <w:tcBorders>
              <w:top w:val="nil"/>
              <w:left w:val="single" w:sz="2" w:space="0" w:color="000000"/>
              <w:bottom w:val="single" w:sz="2" w:space="0" w:color="000000"/>
              <w:right w:val="nil"/>
            </w:tcBorders>
            <w:shd w:val="clear" w:color="auto" w:fill="auto"/>
            <w:tcMar>
              <w:left w:w="54" w:type="dxa"/>
            </w:tcMar>
          </w:tcPr>
          <w:p w14:paraId="0B68F7C5" w14:textId="77777777" w:rsidR="00954A90" w:rsidRPr="00BA4D06" w:rsidRDefault="00954A90" w:rsidP="00954A90">
            <w:pPr>
              <w:pStyle w:val="Contenidodelatabla"/>
              <w:rPr>
                <w:rFonts w:ascii="Times New Roman" w:hAnsi="Times New Roman" w:cs="Times New Roman"/>
                <w:szCs w:val="22"/>
              </w:rPr>
            </w:pPr>
            <w:r>
              <w:rPr>
                <w:rFonts w:ascii="Times New Roman" w:hAnsi="Times New Roman" w:cs="Times New Roman"/>
                <w:szCs w:val="22"/>
              </w:rPr>
              <w:t>3-002-705080</w:t>
            </w:r>
          </w:p>
        </w:tc>
        <w:tc>
          <w:tcPr>
            <w:tcW w:w="1393" w:type="dxa"/>
            <w:tcBorders>
              <w:top w:val="nil"/>
              <w:left w:val="single" w:sz="2" w:space="0" w:color="000000"/>
              <w:bottom w:val="single" w:sz="2" w:space="0" w:color="000000"/>
              <w:right w:val="nil"/>
            </w:tcBorders>
            <w:shd w:val="clear" w:color="auto" w:fill="auto"/>
            <w:tcMar>
              <w:left w:w="54" w:type="dxa"/>
            </w:tcMar>
          </w:tcPr>
          <w:p w14:paraId="54F60713" w14:textId="1A93E6D5" w:rsidR="00954A90" w:rsidRPr="00CC6E97" w:rsidRDefault="00954A90" w:rsidP="00954A90">
            <w:pPr>
              <w:pStyle w:val="Contenidodelatabla"/>
              <w:rPr>
                <w:rFonts w:ascii="Times New Roman" w:hAnsi="Times New Roman" w:cs="Times New Roman"/>
                <w:sz w:val="22"/>
                <w:szCs w:val="22"/>
              </w:rPr>
            </w:pPr>
            <w:r>
              <w:rPr>
                <w:rFonts w:ascii="Times New Roman" w:hAnsi="Times New Roman" w:cs="Times New Roman"/>
                <w:sz w:val="22"/>
                <w:szCs w:val="22"/>
              </w:rPr>
              <w:t>Enero a diciembre 2020</w:t>
            </w:r>
          </w:p>
        </w:tc>
        <w:tc>
          <w:tcPr>
            <w:tcW w:w="1852" w:type="dxa"/>
            <w:tcBorders>
              <w:top w:val="nil"/>
              <w:left w:val="single" w:sz="2" w:space="0" w:color="000000"/>
              <w:bottom w:val="single" w:sz="2" w:space="0" w:color="000000"/>
              <w:right w:val="nil"/>
            </w:tcBorders>
            <w:shd w:val="clear" w:color="auto" w:fill="auto"/>
            <w:tcMar>
              <w:left w:w="54" w:type="dxa"/>
            </w:tcMar>
          </w:tcPr>
          <w:p w14:paraId="7D7A3AD1"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Todas según presupuesto</w:t>
            </w:r>
          </w:p>
        </w:tc>
        <w:tc>
          <w:tcPr>
            <w:tcW w:w="2029" w:type="dxa"/>
            <w:tcBorders>
              <w:top w:val="nil"/>
              <w:left w:val="single" w:sz="2" w:space="0" w:color="000000"/>
              <w:bottom w:val="single" w:sz="2" w:space="0" w:color="000000"/>
              <w:right w:val="nil"/>
            </w:tcBorders>
            <w:shd w:val="clear" w:color="auto" w:fill="auto"/>
            <w:tcMar>
              <w:left w:w="54" w:type="dxa"/>
            </w:tcMar>
          </w:tcPr>
          <w:p w14:paraId="552F58BD" w14:textId="006D1F71" w:rsidR="00954A90" w:rsidRPr="004C35AD" w:rsidRDefault="00954A90" w:rsidP="00954A90">
            <w:pPr>
              <w:pStyle w:val="Contenidodelatabla"/>
              <w:jc w:val="center"/>
              <w:rPr>
                <w:rFonts w:ascii="Times New Roman" w:hAnsi="Times New Roman" w:cs="Times New Roman"/>
                <w:szCs w:val="22"/>
              </w:rPr>
            </w:pPr>
            <w:r w:rsidRPr="000B7FAD">
              <w:rPr>
                <w:rFonts w:ascii="Times New Roman" w:hAnsi="Times New Roman" w:cs="Times New Roman"/>
                <w:szCs w:val="22"/>
              </w:rPr>
              <w:t>$</w:t>
            </w:r>
            <w:r>
              <w:rPr>
                <w:rFonts w:ascii="Times New Roman" w:hAnsi="Times New Roman" w:cs="Times New Roman"/>
                <w:szCs w:val="22"/>
              </w:rPr>
              <w:t>53</w:t>
            </w:r>
            <w:r w:rsidRPr="000B7FAD">
              <w:rPr>
                <w:rFonts w:ascii="Times New Roman" w:hAnsi="Times New Roman" w:cs="Times New Roman"/>
                <w:szCs w:val="22"/>
              </w:rPr>
              <w:t>.</w:t>
            </w:r>
            <w:r>
              <w:rPr>
                <w:rFonts w:ascii="Times New Roman" w:hAnsi="Times New Roman" w:cs="Times New Roman"/>
                <w:szCs w:val="22"/>
              </w:rPr>
              <w:t>652</w:t>
            </w:r>
          </w:p>
        </w:tc>
        <w:tc>
          <w:tcPr>
            <w:tcW w:w="1537" w:type="dxa"/>
            <w:tcBorders>
              <w:top w:val="nil"/>
              <w:left w:val="single" w:sz="2" w:space="0" w:color="000000"/>
              <w:bottom w:val="single" w:sz="2" w:space="0" w:color="000000"/>
              <w:right w:val="single" w:sz="2" w:space="0" w:color="000000"/>
            </w:tcBorders>
            <w:shd w:val="clear" w:color="auto" w:fill="auto"/>
            <w:tcMar>
              <w:left w:w="54" w:type="dxa"/>
            </w:tcMar>
          </w:tcPr>
          <w:p w14:paraId="146C2B65"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No disponible a la fecha</w:t>
            </w:r>
          </w:p>
        </w:tc>
      </w:tr>
      <w:tr w:rsidR="00954A90" w14:paraId="7BC1ACB4" w14:textId="77777777" w:rsidTr="00954A90">
        <w:tc>
          <w:tcPr>
            <w:tcW w:w="1894" w:type="dxa"/>
            <w:tcBorders>
              <w:top w:val="nil"/>
              <w:left w:val="single" w:sz="2" w:space="0" w:color="000000"/>
              <w:bottom w:val="single" w:sz="2" w:space="0" w:color="000000"/>
              <w:right w:val="nil"/>
            </w:tcBorders>
            <w:shd w:val="clear" w:color="auto" w:fill="auto"/>
            <w:tcMar>
              <w:left w:w="54" w:type="dxa"/>
            </w:tcMar>
          </w:tcPr>
          <w:p w14:paraId="127DC351" w14:textId="04E1AD3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Asociación Diversidad Genero</w:t>
            </w:r>
          </w:p>
        </w:tc>
        <w:tc>
          <w:tcPr>
            <w:tcW w:w="1727" w:type="dxa"/>
            <w:tcBorders>
              <w:top w:val="nil"/>
              <w:left w:val="single" w:sz="2" w:space="0" w:color="000000"/>
              <w:bottom w:val="single" w:sz="2" w:space="0" w:color="000000"/>
              <w:right w:val="nil"/>
            </w:tcBorders>
            <w:shd w:val="clear" w:color="auto" w:fill="auto"/>
            <w:tcMar>
              <w:left w:w="54" w:type="dxa"/>
            </w:tcMar>
          </w:tcPr>
          <w:p w14:paraId="7DBAC4C0" w14:textId="7713A3A1" w:rsidR="00954A90" w:rsidRPr="00BA4D06" w:rsidRDefault="00954A90" w:rsidP="00954A90">
            <w:pPr>
              <w:pStyle w:val="Contenidodelatabla"/>
              <w:rPr>
                <w:rFonts w:ascii="Times New Roman" w:hAnsi="Times New Roman" w:cs="Times New Roman"/>
                <w:szCs w:val="22"/>
              </w:rPr>
            </w:pPr>
            <w:r>
              <w:rPr>
                <w:rFonts w:ascii="Times New Roman" w:hAnsi="Times New Roman" w:cs="Times New Roman"/>
                <w:szCs w:val="22"/>
              </w:rPr>
              <w:t>3-002-696953</w:t>
            </w:r>
          </w:p>
        </w:tc>
        <w:tc>
          <w:tcPr>
            <w:tcW w:w="1393" w:type="dxa"/>
            <w:tcBorders>
              <w:top w:val="nil"/>
              <w:left w:val="single" w:sz="2" w:space="0" w:color="000000"/>
              <w:bottom w:val="single" w:sz="2" w:space="0" w:color="000000"/>
              <w:right w:val="nil"/>
            </w:tcBorders>
            <w:shd w:val="clear" w:color="auto" w:fill="auto"/>
            <w:tcMar>
              <w:left w:w="54" w:type="dxa"/>
            </w:tcMar>
          </w:tcPr>
          <w:p w14:paraId="011B0126" w14:textId="5D39CFF0" w:rsidR="00954A90" w:rsidRPr="00CC6E97" w:rsidRDefault="00954A90" w:rsidP="00954A90">
            <w:pPr>
              <w:pStyle w:val="Contenidodelatabla"/>
              <w:rPr>
                <w:rFonts w:ascii="Times New Roman" w:hAnsi="Times New Roman" w:cs="Times New Roman"/>
                <w:sz w:val="22"/>
                <w:szCs w:val="22"/>
              </w:rPr>
            </w:pPr>
            <w:r>
              <w:rPr>
                <w:rFonts w:ascii="Times New Roman" w:hAnsi="Times New Roman" w:cs="Times New Roman"/>
                <w:sz w:val="22"/>
                <w:szCs w:val="22"/>
              </w:rPr>
              <w:t>Enero a diciembre 2020</w:t>
            </w:r>
          </w:p>
        </w:tc>
        <w:tc>
          <w:tcPr>
            <w:tcW w:w="1852" w:type="dxa"/>
            <w:tcBorders>
              <w:top w:val="nil"/>
              <w:left w:val="single" w:sz="2" w:space="0" w:color="000000"/>
              <w:bottom w:val="single" w:sz="2" w:space="0" w:color="000000"/>
              <w:right w:val="nil"/>
            </w:tcBorders>
            <w:shd w:val="clear" w:color="auto" w:fill="auto"/>
            <w:tcMar>
              <w:left w:w="54" w:type="dxa"/>
            </w:tcMar>
          </w:tcPr>
          <w:p w14:paraId="0407CAFA"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Todas según presupuesto</w:t>
            </w:r>
          </w:p>
        </w:tc>
        <w:tc>
          <w:tcPr>
            <w:tcW w:w="2029" w:type="dxa"/>
            <w:tcBorders>
              <w:top w:val="nil"/>
              <w:left w:val="single" w:sz="2" w:space="0" w:color="000000"/>
              <w:bottom w:val="single" w:sz="2" w:space="0" w:color="000000"/>
              <w:right w:val="nil"/>
            </w:tcBorders>
            <w:shd w:val="clear" w:color="auto" w:fill="auto"/>
            <w:tcMar>
              <w:left w:w="54" w:type="dxa"/>
            </w:tcMar>
          </w:tcPr>
          <w:p w14:paraId="3A0286D4" w14:textId="0D9F0ED8" w:rsidR="00954A90" w:rsidRPr="004C35AD" w:rsidRDefault="00954A90" w:rsidP="00954A90">
            <w:pPr>
              <w:pStyle w:val="Contenidodelatabla"/>
              <w:jc w:val="center"/>
              <w:rPr>
                <w:rFonts w:ascii="Times New Roman" w:hAnsi="Times New Roman" w:cs="Times New Roman"/>
                <w:szCs w:val="22"/>
              </w:rPr>
            </w:pPr>
            <w:r w:rsidRPr="000B7FAD">
              <w:rPr>
                <w:rFonts w:ascii="Times New Roman" w:hAnsi="Times New Roman" w:cs="Times New Roman"/>
                <w:szCs w:val="22"/>
              </w:rPr>
              <w:t>$</w:t>
            </w:r>
            <w:r>
              <w:rPr>
                <w:rFonts w:ascii="Times New Roman" w:hAnsi="Times New Roman" w:cs="Times New Roman"/>
                <w:szCs w:val="22"/>
              </w:rPr>
              <w:t>47</w:t>
            </w:r>
            <w:r w:rsidRPr="000B7FAD">
              <w:rPr>
                <w:rFonts w:ascii="Times New Roman" w:hAnsi="Times New Roman" w:cs="Times New Roman"/>
                <w:szCs w:val="22"/>
              </w:rPr>
              <w:t>.</w:t>
            </w:r>
            <w:r>
              <w:rPr>
                <w:rFonts w:ascii="Times New Roman" w:hAnsi="Times New Roman" w:cs="Times New Roman"/>
                <w:szCs w:val="22"/>
              </w:rPr>
              <w:t>022</w:t>
            </w:r>
          </w:p>
        </w:tc>
        <w:tc>
          <w:tcPr>
            <w:tcW w:w="1537" w:type="dxa"/>
            <w:tcBorders>
              <w:top w:val="nil"/>
              <w:left w:val="single" w:sz="2" w:space="0" w:color="000000"/>
              <w:bottom w:val="single" w:sz="2" w:space="0" w:color="000000"/>
              <w:right w:val="single" w:sz="2" w:space="0" w:color="000000"/>
            </w:tcBorders>
            <w:shd w:val="clear" w:color="auto" w:fill="auto"/>
            <w:tcMar>
              <w:left w:w="54" w:type="dxa"/>
            </w:tcMar>
          </w:tcPr>
          <w:p w14:paraId="0DFB4639" w14:textId="77777777" w:rsidR="00954A90" w:rsidRDefault="00954A90" w:rsidP="00954A90">
            <w:pPr>
              <w:pStyle w:val="Contenidodelatabla"/>
              <w:rPr>
                <w:rFonts w:ascii="Times New Roman" w:hAnsi="Times New Roman" w:cs="Times New Roman"/>
                <w:szCs w:val="22"/>
              </w:rPr>
            </w:pPr>
            <w:r>
              <w:rPr>
                <w:rFonts w:ascii="Times New Roman" w:hAnsi="Times New Roman" w:cs="Times New Roman"/>
                <w:szCs w:val="22"/>
              </w:rPr>
              <w:t>No disponible a la fecha</w:t>
            </w:r>
          </w:p>
        </w:tc>
      </w:tr>
    </w:tbl>
    <w:p w14:paraId="7D122A29" w14:textId="7036BD45" w:rsidR="00AB1293" w:rsidRDefault="00AB1293">
      <w:pPr>
        <w:rPr>
          <w:rFonts w:ascii="Times New Roman" w:hAnsi="Times New Roman" w:cs="Times New Roman"/>
          <w:sz w:val="22"/>
          <w:szCs w:val="22"/>
        </w:rPr>
      </w:pPr>
    </w:p>
    <w:p w14:paraId="7F07F46D" w14:textId="6F38FD3E" w:rsidR="00CC6E97" w:rsidRDefault="00CC6E97">
      <w:pPr>
        <w:rPr>
          <w:rFonts w:ascii="Times New Roman" w:hAnsi="Times New Roman" w:cs="Times New Roman"/>
          <w:sz w:val="22"/>
          <w:szCs w:val="22"/>
        </w:rPr>
      </w:pPr>
    </w:p>
    <w:p w14:paraId="78583944" w14:textId="77777777" w:rsidR="00CC6E97" w:rsidRPr="00077A67" w:rsidRDefault="00CC6E97">
      <w:pPr>
        <w:rPr>
          <w:rFonts w:ascii="Times New Roman" w:hAnsi="Times New Roman" w:cs="Times New Roman"/>
          <w:sz w:val="22"/>
          <w:szCs w:val="22"/>
        </w:rPr>
      </w:pPr>
    </w:p>
    <w:p w14:paraId="3CE857F6"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La auditoría únicamente se refiere a los recursos aportados por el Fondo Mundial al RP y a los SR a través de este.  No se ha impuesto o negociado ninguna limitación para el alcance de la auditoría y los recursos programados para su implementación.</w:t>
      </w:r>
    </w:p>
    <w:p w14:paraId="388355F4" w14:textId="77777777" w:rsidR="00AB1293" w:rsidRPr="00077A67" w:rsidRDefault="00AB1293">
      <w:pPr>
        <w:rPr>
          <w:rFonts w:ascii="Times New Roman" w:hAnsi="Times New Roman" w:cs="Times New Roman"/>
          <w:sz w:val="22"/>
          <w:szCs w:val="22"/>
        </w:rPr>
      </w:pPr>
    </w:p>
    <w:p w14:paraId="21854676"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b/>
          <w:bCs/>
          <w:sz w:val="22"/>
          <w:szCs w:val="22"/>
        </w:rPr>
        <w:t xml:space="preserve">2. Contactos </w:t>
      </w:r>
      <w:r w:rsidRPr="00077A67">
        <w:rPr>
          <w:rFonts w:ascii="Times New Roman" w:hAnsi="Times New Roman" w:cs="Times New Roman"/>
          <w:sz w:val="22"/>
          <w:szCs w:val="22"/>
        </w:rPr>
        <w:t>[deberán facilitarse al auditor de manera confidencial]</w:t>
      </w:r>
    </w:p>
    <w:p w14:paraId="10ECE806" w14:textId="77777777" w:rsidR="00AB1293" w:rsidRPr="00077A67" w:rsidRDefault="00AB1293">
      <w:pPr>
        <w:rPr>
          <w:rFonts w:ascii="Times New Roman" w:hAnsi="Times New Roman" w:cs="Times New Roman"/>
          <w:sz w:val="22"/>
          <w:szCs w:val="22"/>
        </w:rPr>
      </w:pPr>
    </w:p>
    <w:p w14:paraId="184D0D79" w14:textId="622A7DB6" w:rsidR="008620D3" w:rsidRPr="00077A67" w:rsidRDefault="008620D3">
      <w:pPr>
        <w:rPr>
          <w:rFonts w:ascii="Times New Roman" w:hAnsi="Times New Roman" w:cs="Times New Roman"/>
          <w:sz w:val="22"/>
          <w:szCs w:val="22"/>
        </w:rPr>
      </w:pPr>
      <w:r w:rsidRPr="00077A67">
        <w:rPr>
          <w:rFonts w:ascii="Times New Roman" w:hAnsi="Times New Roman" w:cs="Times New Roman"/>
          <w:sz w:val="22"/>
          <w:szCs w:val="22"/>
        </w:rPr>
        <w:t xml:space="preserve">El Receptor Principal </w:t>
      </w:r>
      <w:r>
        <w:rPr>
          <w:rFonts w:ascii="Times New Roman" w:hAnsi="Times New Roman" w:cs="Times New Roman"/>
          <w:sz w:val="22"/>
          <w:szCs w:val="22"/>
        </w:rPr>
        <w:t>s</w:t>
      </w:r>
      <w:r w:rsidRPr="00077A67">
        <w:rPr>
          <w:rFonts w:ascii="Times New Roman" w:hAnsi="Times New Roman" w:cs="Times New Roman"/>
          <w:sz w:val="22"/>
          <w:szCs w:val="22"/>
        </w:rPr>
        <w:t>e</w:t>
      </w:r>
      <w:r>
        <w:rPr>
          <w:rFonts w:ascii="Times New Roman" w:hAnsi="Times New Roman" w:cs="Times New Roman"/>
          <w:sz w:val="22"/>
          <w:szCs w:val="22"/>
        </w:rPr>
        <w:t xml:space="preserve"> obliga a entregar al auditor seleccionado </w:t>
      </w:r>
      <w:r w:rsidRPr="00077A67">
        <w:rPr>
          <w:rFonts w:ascii="Times New Roman" w:hAnsi="Times New Roman" w:cs="Times New Roman"/>
          <w:sz w:val="22"/>
          <w:szCs w:val="22"/>
        </w:rPr>
        <w:t>una lista de contactos importantes para la realización de la auditoría</w:t>
      </w:r>
      <w:r>
        <w:rPr>
          <w:rFonts w:ascii="Times New Roman" w:hAnsi="Times New Roman" w:cs="Times New Roman"/>
          <w:sz w:val="22"/>
          <w:szCs w:val="22"/>
        </w:rPr>
        <w:t xml:space="preserve">. </w:t>
      </w:r>
      <w:r w:rsidRPr="00077A67">
        <w:rPr>
          <w:rFonts w:ascii="Times New Roman" w:hAnsi="Times New Roman" w:cs="Times New Roman"/>
          <w:sz w:val="22"/>
          <w:szCs w:val="22"/>
        </w:rPr>
        <w:t xml:space="preserve"> </w:t>
      </w:r>
      <w:r>
        <w:rPr>
          <w:rFonts w:ascii="Times New Roman" w:hAnsi="Times New Roman" w:cs="Times New Roman"/>
          <w:sz w:val="22"/>
          <w:szCs w:val="22"/>
        </w:rPr>
        <w:t>Esta lista</w:t>
      </w:r>
      <w:r w:rsidRPr="00077A67">
        <w:rPr>
          <w:rFonts w:ascii="Times New Roman" w:hAnsi="Times New Roman" w:cs="Times New Roman"/>
          <w:sz w:val="22"/>
          <w:szCs w:val="22"/>
        </w:rPr>
        <w:t xml:space="preserve"> incluir</w:t>
      </w:r>
      <w:r>
        <w:rPr>
          <w:rFonts w:ascii="Times New Roman" w:hAnsi="Times New Roman" w:cs="Times New Roman"/>
          <w:sz w:val="22"/>
          <w:szCs w:val="22"/>
        </w:rPr>
        <w:t>á</w:t>
      </w:r>
      <w:r w:rsidRPr="00077A67">
        <w:rPr>
          <w:rFonts w:ascii="Times New Roman" w:hAnsi="Times New Roman" w:cs="Times New Roman"/>
          <w:sz w:val="22"/>
          <w:szCs w:val="22"/>
        </w:rPr>
        <w:t xml:space="preserve"> como mínimo los datos de: el director del Receptor Principal y el </w:t>
      </w:r>
      <w:r w:rsidR="00CA781D">
        <w:rPr>
          <w:rFonts w:ascii="Times New Roman" w:hAnsi="Times New Roman" w:cs="Times New Roman"/>
          <w:sz w:val="22"/>
          <w:szCs w:val="22"/>
        </w:rPr>
        <w:t xml:space="preserve">administrador y </w:t>
      </w:r>
      <w:r w:rsidRPr="00077A67">
        <w:rPr>
          <w:rFonts w:ascii="Times New Roman" w:hAnsi="Times New Roman" w:cs="Times New Roman"/>
          <w:sz w:val="22"/>
          <w:szCs w:val="22"/>
        </w:rPr>
        <w:t>l</w:t>
      </w:r>
      <w:r w:rsidR="00CA781D">
        <w:rPr>
          <w:rFonts w:ascii="Times New Roman" w:hAnsi="Times New Roman" w:cs="Times New Roman"/>
          <w:sz w:val="22"/>
          <w:szCs w:val="22"/>
        </w:rPr>
        <w:t xml:space="preserve">os </w:t>
      </w:r>
      <w:r w:rsidRPr="00077A67">
        <w:rPr>
          <w:rFonts w:ascii="Times New Roman" w:hAnsi="Times New Roman" w:cs="Times New Roman"/>
          <w:sz w:val="22"/>
          <w:szCs w:val="22"/>
        </w:rPr>
        <w:t>directore</w:t>
      </w:r>
      <w:r w:rsidR="00CA781D">
        <w:rPr>
          <w:rFonts w:ascii="Times New Roman" w:hAnsi="Times New Roman" w:cs="Times New Roman"/>
          <w:sz w:val="22"/>
          <w:szCs w:val="22"/>
        </w:rPr>
        <w:t>s d</w:t>
      </w:r>
      <w:r w:rsidRPr="00077A67">
        <w:rPr>
          <w:rFonts w:ascii="Times New Roman" w:hAnsi="Times New Roman" w:cs="Times New Roman"/>
          <w:sz w:val="22"/>
          <w:szCs w:val="22"/>
        </w:rPr>
        <w:t>e</w:t>
      </w:r>
      <w:r w:rsidR="00CA781D">
        <w:rPr>
          <w:rFonts w:ascii="Times New Roman" w:hAnsi="Times New Roman" w:cs="Times New Roman"/>
          <w:sz w:val="22"/>
          <w:szCs w:val="22"/>
        </w:rPr>
        <w:t xml:space="preserve"> cada uno de los </w:t>
      </w:r>
      <w:r w:rsidRPr="00077A67">
        <w:rPr>
          <w:rFonts w:ascii="Times New Roman" w:hAnsi="Times New Roman" w:cs="Times New Roman"/>
          <w:sz w:val="22"/>
          <w:szCs w:val="22"/>
        </w:rPr>
        <w:t>subreceptor</w:t>
      </w:r>
      <w:r w:rsidR="00CA781D">
        <w:rPr>
          <w:rFonts w:ascii="Times New Roman" w:hAnsi="Times New Roman" w:cs="Times New Roman"/>
          <w:sz w:val="22"/>
          <w:szCs w:val="22"/>
        </w:rPr>
        <w:t>es</w:t>
      </w:r>
      <w:r w:rsidR="00876DD9">
        <w:rPr>
          <w:rFonts w:ascii="Times New Roman" w:hAnsi="Times New Roman" w:cs="Times New Roman"/>
          <w:sz w:val="22"/>
          <w:szCs w:val="22"/>
        </w:rPr>
        <w:t xml:space="preserve"> </w:t>
      </w:r>
      <w:r w:rsidR="00CA781D">
        <w:rPr>
          <w:rFonts w:ascii="Times New Roman" w:hAnsi="Times New Roman" w:cs="Times New Roman"/>
          <w:sz w:val="22"/>
          <w:szCs w:val="22"/>
        </w:rPr>
        <w:t>, programático y financiero.  Además, de cualesquiera otras personas que se consideren pertinentes para la auditoría</w:t>
      </w:r>
      <w:r>
        <w:rPr>
          <w:rFonts w:ascii="Times New Roman" w:hAnsi="Times New Roman" w:cs="Times New Roman"/>
          <w:sz w:val="22"/>
          <w:szCs w:val="22"/>
        </w:rPr>
        <w:t>.</w:t>
      </w:r>
    </w:p>
    <w:p w14:paraId="5F0A8703" w14:textId="77777777" w:rsidR="00AB1293" w:rsidRPr="00077A67" w:rsidRDefault="00AB1293">
      <w:pPr>
        <w:rPr>
          <w:rFonts w:ascii="Times New Roman" w:hAnsi="Times New Roman" w:cs="Times New Roman"/>
          <w:sz w:val="22"/>
          <w:szCs w:val="22"/>
        </w:rPr>
      </w:pPr>
    </w:p>
    <w:tbl>
      <w:tblPr>
        <w:tblW w:w="0" w:type="auto"/>
        <w:tblInd w:w="55"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1796"/>
        <w:gridCol w:w="2117"/>
        <w:gridCol w:w="1816"/>
        <w:gridCol w:w="1872"/>
        <w:gridCol w:w="2310"/>
      </w:tblGrid>
      <w:tr w:rsidR="00AB1293" w:rsidRPr="00077A67" w14:paraId="6239D1CB" w14:textId="77777777" w:rsidTr="00CC6E97">
        <w:tc>
          <w:tcPr>
            <w:tcW w:w="1791" w:type="dxa"/>
            <w:tcBorders>
              <w:top w:val="single" w:sz="2" w:space="0" w:color="000000"/>
              <w:left w:val="single" w:sz="2" w:space="0" w:color="000000"/>
              <w:bottom w:val="single" w:sz="2" w:space="0" w:color="000000"/>
              <w:right w:val="nil"/>
            </w:tcBorders>
            <w:shd w:val="clear" w:color="auto" w:fill="auto"/>
            <w:tcMar>
              <w:left w:w="54" w:type="dxa"/>
            </w:tcMar>
          </w:tcPr>
          <w:p w14:paraId="31EA76CD" w14:textId="77777777" w:rsidR="00AB1293" w:rsidRPr="00077A67" w:rsidRDefault="00511DD4">
            <w:pPr>
              <w:pStyle w:val="Contenidodelatabla"/>
              <w:jc w:val="center"/>
              <w:rPr>
                <w:rFonts w:ascii="Times New Roman" w:hAnsi="Times New Roman" w:cs="Times New Roman"/>
                <w:sz w:val="22"/>
                <w:szCs w:val="22"/>
              </w:rPr>
            </w:pPr>
            <w:r w:rsidRPr="00077A67">
              <w:rPr>
                <w:rFonts w:ascii="Times New Roman" w:hAnsi="Times New Roman" w:cs="Times New Roman"/>
                <w:sz w:val="22"/>
                <w:szCs w:val="22"/>
              </w:rPr>
              <w:t>ORGANIZACIÓN</w:t>
            </w:r>
          </w:p>
        </w:tc>
        <w:tc>
          <w:tcPr>
            <w:tcW w:w="2120" w:type="dxa"/>
            <w:tcBorders>
              <w:top w:val="single" w:sz="2" w:space="0" w:color="000000"/>
              <w:left w:val="single" w:sz="2" w:space="0" w:color="000000"/>
              <w:bottom w:val="single" w:sz="2" w:space="0" w:color="000000"/>
              <w:right w:val="nil"/>
            </w:tcBorders>
            <w:shd w:val="clear" w:color="auto" w:fill="auto"/>
            <w:tcMar>
              <w:left w:w="54" w:type="dxa"/>
            </w:tcMar>
          </w:tcPr>
          <w:p w14:paraId="0ADC61DB" w14:textId="77777777" w:rsidR="00AB1293" w:rsidRPr="00077A67" w:rsidRDefault="00511DD4">
            <w:pPr>
              <w:pStyle w:val="Contenidodelatabla"/>
              <w:jc w:val="center"/>
              <w:rPr>
                <w:rFonts w:ascii="Times New Roman" w:hAnsi="Times New Roman" w:cs="Times New Roman"/>
                <w:sz w:val="22"/>
                <w:szCs w:val="22"/>
              </w:rPr>
            </w:pPr>
            <w:r w:rsidRPr="00077A67">
              <w:rPr>
                <w:rFonts w:ascii="Times New Roman" w:hAnsi="Times New Roman" w:cs="Times New Roman"/>
                <w:sz w:val="22"/>
                <w:szCs w:val="22"/>
              </w:rPr>
              <w:t>NOMBRE</w:t>
            </w:r>
          </w:p>
        </w:tc>
        <w:tc>
          <w:tcPr>
            <w:tcW w:w="1817" w:type="dxa"/>
            <w:tcBorders>
              <w:top w:val="single" w:sz="2" w:space="0" w:color="000000"/>
              <w:left w:val="single" w:sz="2" w:space="0" w:color="000000"/>
              <w:bottom w:val="single" w:sz="2" w:space="0" w:color="000000"/>
              <w:right w:val="nil"/>
            </w:tcBorders>
            <w:shd w:val="clear" w:color="auto" w:fill="auto"/>
            <w:tcMar>
              <w:left w:w="54" w:type="dxa"/>
            </w:tcMar>
          </w:tcPr>
          <w:p w14:paraId="43A2B7B2" w14:textId="77777777" w:rsidR="00AB1293" w:rsidRPr="00077A67" w:rsidRDefault="00511DD4">
            <w:pPr>
              <w:pStyle w:val="Contenidodelatabla"/>
              <w:jc w:val="center"/>
              <w:rPr>
                <w:rFonts w:ascii="Times New Roman" w:hAnsi="Times New Roman" w:cs="Times New Roman"/>
                <w:sz w:val="22"/>
                <w:szCs w:val="22"/>
              </w:rPr>
            </w:pPr>
            <w:r w:rsidRPr="00077A67">
              <w:rPr>
                <w:rFonts w:ascii="Times New Roman" w:hAnsi="Times New Roman" w:cs="Times New Roman"/>
                <w:sz w:val="22"/>
                <w:szCs w:val="22"/>
              </w:rPr>
              <w:t>PUESTO</w:t>
            </w:r>
          </w:p>
        </w:tc>
        <w:tc>
          <w:tcPr>
            <w:tcW w:w="1873" w:type="dxa"/>
            <w:tcBorders>
              <w:top w:val="single" w:sz="2" w:space="0" w:color="000000"/>
              <w:left w:val="single" w:sz="2" w:space="0" w:color="000000"/>
              <w:bottom w:val="single" w:sz="2" w:space="0" w:color="000000"/>
              <w:right w:val="nil"/>
            </w:tcBorders>
            <w:shd w:val="clear" w:color="auto" w:fill="auto"/>
            <w:tcMar>
              <w:left w:w="54" w:type="dxa"/>
            </w:tcMar>
          </w:tcPr>
          <w:p w14:paraId="546DF6CA" w14:textId="77777777" w:rsidR="00AB1293" w:rsidRPr="00077A67" w:rsidRDefault="00511DD4">
            <w:pPr>
              <w:pStyle w:val="Contenidodelatabla"/>
              <w:jc w:val="center"/>
              <w:rPr>
                <w:rFonts w:ascii="Times New Roman" w:hAnsi="Times New Roman" w:cs="Times New Roman"/>
                <w:sz w:val="22"/>
                <w:szCs w:val="22"/>
              </w:rPr>
            </w:pPr>
            <w:r w:rsidRPr="00077A67">
              <w:rPr>
                <w:rFonts w:ascii="Times New Roman" w:hAnsi="Times New Roman" w:cs="Times New Roman"/>
                <w:sz w:val="22"/>
                <w:szCs w:val="22"/>
              </w:rPr>
              <w:t>TELÉFONO</w:t>
            </w:r>
          </w:p>
        </w:tc>
        <w:tc>
          <w:tcPr>
            <w:tcW w:w="231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9A17608" w14:textId="77777777" w:rsidR="00AB1293" w:rsidRPr="00077A67" w:rsidRDefault="00511DD4">
            <w:pPr>
              <w:pStyle w:val="Contenidodelatabla"/>
              <w:jc w:val="center"/>
              <w:rPr>
                <w:rFonts w:ascii="Times New Roman" w:hAnsi="Times New Roman" w:cs="Times New Roman"/>
                <w:sz w:val="22"/>
                <w:szCs w:val="22"/>
              </w:rPr>
            </w:pPr>
            <w:r w:rsidRPr="00077A67">
              <w:rPr>
                <w:rFonts w:ascii="Times New Roman" w:hAnsi="Times New Roman" w:cs="Times New Roman"/>
                <w:sz w:val="22"/>
                <w:szCs w:val="22"/>
              </w:rPr>
              <w:t>CORREO</w:t>
            </w:r>
          </w:p>
        </w:tc>
      </w:tr>
      <w:tr w:rsidR="00CC6E97" w:rsidRPr="00077A67" w14:paraId="61733176" w14:textId="77777777" w:rsidTr="00CC6E97">
        <w:tc>
          <w:tcPr>
            <w:tcW w:w="1791" w:type="dxa"/>
            <w:tcBorders>
              <w:top w:val="nil"/>
              <w:left w:val="single" w:sz="2" w:space="0" w:color="000000"/>
              <w:bottom w:val="single" w:sz="2" w:space="0" w:color="000000"/>
              <w:right w:val="nil"/>
            </w:tcBorders>
            <w:shd w:val="clear" w:color="auto" w:fill="auto"/>
            <w:tcMar>
              <w:left w:w="54" w:type="dxa"/>
            </w:tcMar>
          </w:tcPr>
          <w:p w14:paraId="5F323E1F" w14:textId="77777777" w:rsidR="00CC6E97" w:rsidRPr="00077A67" w:rsidRDefault="00CC6E97" w:rsidP="00CC6E97">
            <w:pPr>
              <w:pStyle w:val="Contenidodelatabla"/>
              <w:rPr>
                <w:rFonts w:ascii="Times New Roman" w:hAnsi="Times New Roman" w:cs="Times New Roman"/>
                <w:sz w:val="22"/>
                <w:szCs w:val="22"/>
              </w:rPr>
            </w:pPr>
            <w:r>
              <w:rPr>
                <w:rFonts w:ascii="Times New Roman" w:hAnsi="Times New Roman" w:cs="Times New Roman"/>
                <w:sz w:val="22"/>
                <w:szCs w:val="22"/>
              </w:rPr>
              <w:t>Hivos</w:t>
            </w:r>
          </w:p>
        </w:tc>
        <w:tc>
          <w:tcPr>
            <w:tcW w:w="2120" w:type="dxa"/>
            <w:tcBorders>
              <w:top w:val="nil"/>
              <w:left w:val="single" w:sz="2" w:space="0" w:color="000000"/>
              <w:bottom w:val="single" w:sz="2" w:space="0" w:color="000000"/>
              <w:right w:val="nil"/>
            </w:tcBorders>
            <w:shd w:val="clear" w:color="auto" w:fill="auto"/>
            <w:tcMar>
              <w:left w:w="54" w:type="dxa"/>
            </w:tcMar>
          </w:tcPr>
          <w:p w14:paraId="25862240" w14:textId="5AD573DF" w:rsidR="00CC6E97" w:rsidRPr="00077A67" w:rsidRDefault="00CC6E97" w:rsidP="00CC6E97">
            <w:pPr>
              <w:pStyle w:val="Contenidodelatabla"/>
              <w:rPr>
                <w:rFonts w:ascii="Times New Roman" w:hAnsi="Times New Roman" w:cs="Times New Roman"/>
                <w:sz w:val="22"/>
                <w:szCs w:val="22"/>
              </w:rPr>
            </w:pPr>
            <w:r>
              <w:rPr>
                <w:rFonts w:ascii="Times New Roman" w:hAnsi="Times New Roman" w:cs="Times New Roman"/>
                <w:szCs w:val="22"/>
              </w:rPr>
              <w:t>Laura Sánchez Calv</w:t>
            </w:r>
            <w:r w:rsidR="00C1185E">
              <w:rPr>
                <w:rFonts w:ascii="Times New Roman" w:hAnsi="Times New Roman" w:cs="Times New Roman"/>
                <w:szCs w:val="22"/>
              </w:rPr>
              <w:t>o</w:t>
            </w:r>
          </w:p>
        </w:tc>
        <w:tc>
          <w:tcPr>
            <w:tcW w:w="1817" w:type="dxa"/>
            <w:tcBorders>
              <w:top w:val="nil"/>
              <w:left w:val="single" w:sz="2" w:space="0" w:color="000000"/>
              <w:bottom w:val="single" w:sz="2" w:space="0" w:color="000000"/>
              <w:right w:val="nil"/>
            </w:tcBorders>
            <w:shd w:val="clear" w:color="auto" w:fill="auto"/>
            <w:tcMar>
              <w:left w:w="54" w:type="dxa"/>
            </w:tcMar>
          </w:tcPr>
          <w:p w14:paraId="25DCB5D0" w14:textId="11F02278" w:rsidR="00CC6E97" w:rsidRPr="00077A67" w:rsidRDefault="00CC6E97" w:rsidP="00CC6E97">
            <w:pPr>
              <w:pStyle w:val="Contenidodelatabla"/>
              <w:rPr>
                <w:rFonts w:ascii="Times New Roman" w:hAnsi="Times New Roman" w:cs="Times New Roman"/>
                <w:sz w:val="22"/>
                <w:szCs w:val="22"/>
              </w:rPr>
            </w:pPr>
            <w:r>
              <w:rPr>
                <w:rFonts w:ascii="Times New Roman" w:hAnsi="Times New Roman" w:cs="Times New Roman"/>
                <w:szCs w:val="22"/>
              </w:rPr>
              <w:t>Director del RP</w:t>
            </w:r>
          </w:p>
        </w:tc>
        <w:tc>
          <w:tcPr>
            <w:tcW w:w="1873" w:type="dxa"/>
            <w:tcBorders>
              <w:top w:val="nil"/>
              <w:left w:val="single" w:sz="2" w:space="0" w:color="000000"/>
              <w:bottom w:val="single" w:sz="2" w:space="0" w:color="000000"/>
              <w:right w:val="nil"/>
            </w:tcBorders>
            <w:shd w:val="clear" w:color="auto" w:fill="auto"/>
            <w:tcMar>
              <w:left w:w="54" w:type="dxa"/>
            </w:tcMar>
          </w:tcPr>
          <w:p w14:paraId="1F37A7C2" w14:textId="41C7F2B5" w:rsidR="00CC6E97" w:rsidRPr="00077A67" w:rsidRDefault="00CC6E97" w:rsidP="00CC6E97">
            <w:pPr>
              <w:pStyle w:val="Contenidodelatabla"/>
              <w:rPr>
                <w:rFonts w:ascii="Times New Roman" w:hAnsi="Times New Roman" w:cs="Times New Roman"/>
                <w:sz w:val="22"/>
                <w:szCs w:val="22"/>
              </w:rPr>
            </w:pPr>
            <w:r>
              <w:rPr>
                <w:rFonts w:ascii="Times New Roman" w:hAnsi="Times New Roman" w:cs="Times New Roman"/>
                <w:szCs w:val="22"/>
              </w:rPr>
              <w:t>2231-0848</w:t>
            </w:r>
          </w:p>
        </w:tc>
        <w:tc>
          <w:tcPr>
            <w:tcW w:w="2310" w:type="dxa"/>
            <w:tcBorders>
              <w:top w:val="nil"/>
              <w:left w:val="single" w:sz="2" w:space="0" w:color="000000"/>
              <w:bottom w:val="single" w:sz="2" w:space="0" w:color="000000"/>
              <w:right w:val="single" w:sz="2" w:space="0" w:color="000000"/>
            </w:tcBorders>
            <w:shd w:val="clear" w:color="auto" w:fill="auto"/>
            <w:tcMar>
              <w:left w:w="54" w:type="dxa"/>
            </w:tcMar>
          </w:tcPr>
          <w:p w14:paraId="352B83FC" w14:textId="3AFAFC3C" w:rsidR="00CC6E97" w:rsidRPr="00077A67" w:rsidRDefault="00113B76" w:rsidP="00CC6E97">
            <w:pPr>
              <w:pStyle w:val="Contenidodelatabla"/>
              <w:rPr>
                <w:rFonts w:ascii="Times New Roman" w:hAnsi="Times New Roman" w:cs="Times New Roman"/>
                <w:sz w:val="22"/>
                <w:szCs w:val="22"/>
              </w:rPr>
            </w:pPr>
            <w:hyperlink r:id="rId8" w:history="1">
              <w:r w:rsidR="00CC6E97" w:rsidRPr="002726E5">
                <w:rPr>
                  <w:rStyle w:val="Hipervnculo"/>
                  <w:rFonts w:ascii="Times New Roman" w:hAnsi="Times New Roman" w:cs="Times New Roman"/>
                  <w:szCs w:val="22"/>
                </w:rPr>
                <w:t>lsanchez@hivos.org</w:t>
              </w:r>
            </w:hyperlink>
          </w:p>
        </w:tc>
      </w:tr>
      <w:tr w:rsidR="00AB1293" w:rsidRPr="00077A67" w14:paraId="25E94FE4" w14:textId="77777777" w:rsidTr="00CC6E97">
        <w:tc>
          <w:tcPr>
            <w:tcW w:w="1791" w:type="dxa"/>
            <w:tcBorders>
              <w:top w:val="nil"/>
              <w:left w:val="single" w:sz="2" w:space="0" w:color="000000"/>
              <w:bottom w:val="single" w:sz="2" w:space="0" w:color="000000"/>
              <w:right w:val="nil"/>
            </w:tcBorders>
            <w:shd w:val="clear" w:color="auto" w:fill="auto"/>
            <w:tcMar>
              <w:left w:w="54" w:type="dxa"/>
            </w:tcMar>
          </w:tcPr>
          <w:p w14:paraId="1B3D70AF" w14:textId="77777777" w:rsidR="00AB1293" w:rsidRPr="00077A67" w:rsidRDefault="00CA781D">
            <w:pPr>
              <w:pStyle w:val="Contenidodelatabla"/>
              <w:rPr>
                <w:rFonts w:ascii="Times New Roman" w:hAnsi="Times New Roman" w:cs="Times New Roman"/>
                <w:sz w:val="22"/>
                <w:szCs w:val="22"/>
              </w:rPr>
            </w:pPr>
            <w:r>
              <w:rPr>
                <w:rFonts w:ascii="Times New Roman" w:hAnsi="Times New Roman" w:cs="Times New Roman"/>
                <w:sz w:val="22"/>
                <w:szCs w:val="22"/>
              </w:rPr>
              <w:t>Hivos</w:t>
            </w:r>
          </w:p>
        </w:tc>
        <w:tc>
          <w:tcPr>
            <w:tcW w:w="2120" w:type="dxa"/>
            <w:tcBorders>
              <w:top w:val="nil"/>
              <w:left w:val="single" w:sz="2" w:space="0" w:color="000000"/>
              <w:bottom w:val="single" w:sz="2" w:space="0" w:color="000000"/>
              <w:right w:val="nil"/>
            </w:tcBorders>
            <w:shd w:val="clear" w:color="auto" w:fill="auto"/>
            <w:tcMar>
              <w:left w:w="54" w:type="dxa"/>
            </w:tcMar>
          </w:tcPr>
          <w:p w14:paraId="1F18A3DF" w14:textId="100DA056" w:rsidR="00AB1293" w:rsidRPr="00077A67" w:rsidRDefault="00CC6E97">
            <w:pPr>
              <w:pStyle w:val="Contenidodelatabla"/>
              <w:rPr>
                <w:rFonts w:ascii="Times New Roman" w:hAnsi="Times New Roman" w:cs="Times New Roman"/>
                <w:sz w:val="22"/>
                <w:szCs w:val="22"/>
              </w:rPr>
            </w:pPr>
            <w:r>
              <w:rPr>
                <w:rFonts w:ascii="Times New Roman" w:hAnsi="Times New Roman" w:cs="Times New Roman"/>
                <w:sz w:val="22"/>
                <w:szCs w:val="22"/>
              </w:rPr>
              <w:t>Roxana Jimenez Sojo</w:t>
            </w:r>
          </w:p>
        </w:tc>
        <w:tc>
          <w:tcPr>
            <w:tcW w:w="1817" w:type="dxa"/>
            <w:tcBorders>
              <w:top w:val="nil"/>
              <w:left w:val="single" w:sz="2" w:space="0" w:color="000000"/>
              <w:bottom w:val="single" w:sz="2" w:space="0" w:color="000000"/>
              <w:right w:val="nil"/>
            </w:tcBorders>
            <w:shd w:val="clear" w:color="auto" w:fill="auto"/>
            <w:tcMar>
              <w:left w:w="54" w:type="dxa"/>
            </w:tcMar>
          </w:tcPr>
          <w:p w14:paraId="0F5361A1" w14:textId="30587487" w:rsidR="00AB1293" w:rsidRPr="00077A67" w:rsidRDefault="00CC6E97">
            <w:pPr>
              <w:pStyle w:val="Contenidodelatabla"/>
              <w:rPr>
                <w:rFonts w:ascii="Times New Roman" w:hAnsi="Times New Roman" w:cs="Times New Roman"/>
                <w:sz w:val="22"/>
                <w:szCs w:val="22"/>
              </w:rPr>
            </w:pPr>
            <w:r>
              <w:rPr>
                <w:rFonts w:ascii="Times New Roman" w:hAnsi="Times New Roman" w:cs="Times New Roman"/>
                <w:sz w:val="22"/>
                <w:szCs w:val="22"/>
              </w:rPr>
              <w:t>Oficial Financiera</w:t>
            </w:r>
          </w:p>
        </w:tc>
        <w:tc>
          <w:tcPr>
            <w:tcW w:w="1873" w:type="dxa"/>
            <w:tcBorders>
              <w:top w:val="nil"/>
              <w:left w:val="single" w:sz="2" w:space="0" w:color="000000"/>
              <w:bottom w:val="single" w:sz="2" w:space="0" w:color="000000"/>
              <w:right w:val="nil"/>
            </w:tcBorders>
            <w:shd w:val="clear" w:color="auto" w:fill="auto"/>
            <w:tcMar>
              <w:left w:w="54" w:type="dxa"/>
            </w:tcMar>
          </w:tcPr>
          <w:p w14:paraId="0CD51922" w14:textId="77777777" w:rsidR="00AB1293" w:rsidRPr="00077A67" w:rsidRDefault="00CA781D">
            <w:pPr>
              <w:pStyle w:val="Contenidodelatabla"/>
              <w:rPr>
                <w:rFonts w:ascii="Times New Roman" w:hAnsi="Times New Roman" w:cs="Times New Roman"/>
                <w:sz w:val="22"/>
                <w:szCs w:val="22"/>
              </w:rPr>
            </w:pPr>
            <w:r>
              <w:rPr>
                <w:rFonts w:ascii="Times New Roman" w:hAnsi="Times New Roman" w:cs="Times New Roman"/>
                <w:sz w:val="22"/>
                <w:szCs w:val="22"/>
              </w:rPr>
              <w:t>2231-0848</w:t>
            </w:r>
          </w:p>
        </w:tc>
        <w:tc>
          <w:tcPr>
            <w:tcW w:w="2310" w:type="dxa"/>
            <w:tcBorders>
              <w:top w:val="nil"/>
              <w:left w:val="single" w:sz="2" w:space="0" w:color="000000"/>
              <w:bottom w:val="single" w:sz="2" w:space="0" w:color="000000"/>
              <w:right w:val="single" w:sz="2" w:space="0" w:color="000000"/>
            </w:tcBorders>
            <w:shd w:val="clear" w:color="auto" w:fill="auto"/>
            <w:tcMar>
              <w:left w:w="54" w:type="dxa"/>
            </w:tcMar>
          </w:tcPr>
          <w:p w14:paraId="6631F74E" w14:textId="049E792C" w:rsidR="00AB1293" w:rsidRPr="00077A67" w:rsidRDefault="00113B76" w:rsidP="00CC6E97">
            <w:pPr>
              <w:pStyle w:val="Contenidodelatabla"/>
              <w:rPr>
                <w:rFonts w:ascii="Times New Roman" w:hAnsi="Times New Roman" w:cs="Times New Roman"/>
                <w:sz w:val="22"/>
                <w:szCs w:val="22"/>
              </w:rPr>
            </w:pPr>
            <w:hyperlink r:id="rId9" w:history="1">
              <w:r w:rsidR="00CC6E97" w:rsidRPr="00B031DA">
                <w:rPr>
                  <w:rStyle w:val="Hipervnculo"/>
                  <w:rFonts w:ascii="Times New Roman" w:hAnsi="Times New Roman" w:cs="Times New Roman"/>
                  <w:sz w:val="22"/>
                  <w:szCs w:val="22"/>
                </w:rPr>
                <w:t>rjimenez@hivos.org</w:t>
              </w:r>
            </w:hyperlink>
          </w:p>
        </w:tc>
      </w:tr>
    </w:tbl>
    <w:p w14:paraId="02AAAE88" w14:textId="77777777" w:rsidR="00AB1293" w:rsidRPr="00077A67" w:rsidRDefault="00AB1293">
      <w:pPr>
        <w:rPr>
          <w:rFonts w:ascii="Times New Roman" w:hAnsi="Times New Roman" w:cs="Times New Roman"/>
          <w:sz w:val="22"/>
          <w:szCs w:val="22"/>
        </w:rPr>
      </w:pPr>
    </w:p>
    <w:p w14:paraId="2884096B" w14:textId="77777777" w:rsidR="00CC6E97" w:rsidRDefault="00CC6E97" w:rsidP="00CC6E97">
      <w:pPr>
        <w:rPr>
          <w:rFonts w:ascii="Times New Roman" w:hAnsi="Times New Roman" w:cs="Times New Roman"/>
          <w:szCs w:val="22"/>
        </w:rPr>
      </w:pPr>
      <w:r>
        <w:rPr>
          <w:rFonts w:ascii="Times New Roman" w:hAnsi="Times New Roman" w:cs="Times New Roman"/>
          <w:szCs w:val="22"/>
        </w:rPr>
        <w:t>Al momento de la firma del contrato con el equipo de auditoría externa designado, el RP también entregará los contactos del Agente Local del Fondo (ALF).  Es mandatorio y de previo antes de iniciar las labores, consensuar el plan de trabajo de la auditoría y todas las acciones de campo con el ALF.</w:t>
      </w:r>
    </w:p>
    <w:p w14:paraId="787DF31E" w14:textId="77777777" w:rsidR="00CC6E97" w:rsidRDefault="00CC6E97">
      <w:pPr>
        <w:rPr>
          <w:rFonts w:ascii="Times New Roman" w:hAnsi="Times New Roman" w:cs="Times New Roman"/>
          <w:b/>
          <w:bCs/>
          <w:sz w:val="22"/>
          <w:szCs w:val="22"/>
        </w:rPr>
      </w:pPr>
    </w:p>
    <w:p w14:paraId="6B350059" w14:textId="3A9B9C90" w:rsidR="00CC6E97" w:rsidRDefault="00CC6E97">
      <w:pPr>
        <w:rPr>
          <w:rFonts w:ascii="Times New Roman" w:hAnsi="Times New Roman" w:cs="Times New Roman"/>
          <w:b/>
          <w:bCs/>
          <w:sz w:val="22"/>
          <w:szCs w:val="22"/>
        </w:rPr>
      </w:pPr>
    </w:p>
    <w:p w14:paraId="7ED222FD" w14:textId="0352BE62" w:rsidR="00C1185E" w:rsidRDefault="00C1185E">
      <w:pPr>
        <w:rPr>
          <w:rFonts w:ascii="Times New Roman" w:hAnsi="Times New Roman" w:cs="Times New Roman"/>
          <w:b/>
          <w:bCs/>
          <w:sz w:val="22"/>
          <w:szCs w:val="22"/>
        </w:rPr>
      </w:pPr>
    </w:p>
    <w:p w14:paraId="185E796A" w14:textId="77777777" w:rsidR="00C1185E" w:rsidRDefault="00C1185E">
      <w:pPr>
        <w:rPr>
          <w:rFonts w:ascii="Times New Roman" w:hAnsi="Times New Roman" w:cs="Times New Roman"/>
          <w:b/>
          <w:bCs/>
          <w:sz w:val="22"/>
          <w:szCs w:val="22"/>
        </w:rPr>
      </w:pPr>
    </w:p>
    <w:p w14:paraId="333ACCC8" w14:textId="77777777" w:rsidR="00CC6E97" w:rsidRDefault="00CC6E97">
      <w:pPr>
        <w:rPr>
          <w:rFonts w:ascii="Times New Roman" w:hAnsi="Times New Roman" w:cs="Times New Roman"/>
          <w:b/>
          <w:bCs/>
          <w:sz w:val="22"/>
          <w:szCs w:val="22"/>
        </w:rPr>
      </w:pPr>
    </w:p>
    <w:p w14:paraId="68F63C92" w14:textId="3F622539" w:rsidR="00AB1293" w:rsidRPr="00077A67" w:rsidRDefault="00511DD4">
      <w:pPr>
        <w:rPr>
          <w:rFonts w:ascii="Times New Roman" w:hAnsi="Times New Roman" w:cs="Times New Roman"/>
          <w:b/>
          <w:bCs/>
          <w:sz w:val="22"/>
          <w:szCs w:val="22"/>
        </w:rPr>
      </w:pPr>
      <w:r w:rsidRPr="00077A67">
        <w:rPr>
          <w:rFonts w:ascii="Times New Roman" w:hAnsi="Times New Roman" w:cs="Times New Roman"/>
          <w:b/>
          <w:bCs/>
          <w:sz w:val="22"/>
          <w:szCs w:val="22"/>
        </w:rPr>
        <w:t>3. Documentos e instalaciones disponibles</w:t>
      </w:r>
    </w:p>
    <w:p w14:paraId="497E8A7A" w14:textId="77777777" w:rsidR="00AB1293" w:rsidRPr="00077A67" w:rsidRDefault="00AB1293">
      <w:pPr>
        <w:rPr>
          <w:rFonts w:ascii="Times New Roman" w:hAnsi="Times New Roman" w:cs="Times New Roman"/>
          <w:sz w:val="22"/>
          <w:szCs w:val="22"/>
        </w:rPr>
      </w:pPr>
    </w:p>
    <w:p w14:paraId="3338AC2A" w14:textId="4EDBBF30" w:rsidR="00CA781D" w:rsidRDefault="00CA781D">
      <w:pPr>
        <w:rPr>
          <w:rFonts w:ascii="Times New Roman" w:hAnsi="Times New Roman" w:cs="Times New Roman"/>
          <w:sz w:val="22"/>
          <w:szCs w:val="22"/>
        </w:rPr>
      </w:pPr>
      <w:r>
        <w:rPr>
          <w:rFonts w:ascii="Times New Roman" w:hAnsi="Times New Roman" w:cs="Times New Roman"/>
          <w:sz w:val="22"/>
          <w:szCs w:val="22"/>
        </w:rPr>
        <w:t>El RP y los SR estamos obligados a facilitar al auditor el acceso a todos los libros y registros relacionados con la subvención, s</w:t>
      </w:r>
      <w:r w:rsidR="00BC6031">
        <w:rPr>
          <w:rFonts w:ascii="Times New Roman" w:hAnsi="Times New Roman" w:cs="Times New Roman"/>
          <w:sz w:val="22"/>
          <w:szCs w:val="22"/>
        </w:rPr>
        <w:t>egún lo solicite el auditor, incluida una lista de todas las ubicaciones clave del Receptor Principal y Sub-receptores, tomando nota de los documentos clave celebrado en cada lugar</w:t>
      </w:r>
      <w:r>
        <w:rPr>
          <w:rFonts w:ascii="Times New Roman" w:hAnsi="Times New Roman" w:cs="Times New Roman"/>
          <w:sz w:val="22"/>
          <w:szCs w:val="22"/>
        </w:rPr>
        <w:t>.  La siguiente es una lista orientativa</w:t>
      </w:r>
      <w:r w:rsidR="00BC6031">
        <w:rPr>
          <w:rFonts w:ascii="Times New Roman" w:hAnsi="Times New Roman" w:cs="Times New Roman"/>
          <w:sz w:val="22"/>
          <w:szCs w:val="22"/>
        </w:rPr>
        <w:t xml:space="preserve"> de los documentos que puede solicitar el auditor</w:t>
      </w:r>
      <w:r>
        <w:rPr>
          <w:rFonts w:ascii="Times New Roman" w:hAnsi="Times New Roman" w:cs="Times New Roman"/>
          <w:sz w:val="22"/>
          <w:szCs w:val="22"/>
        </w:rPr>
        <w:t>:</w:t>
      </w:r>
    </w:p>
    <w:p w14:paraId="2031835A" w14:textId="77777777" w:rsidR="00CA781D" w:rsidRPr="00077A67" w:rsidRDefault="00CA781D">
      <w:pPr>
        <w:rPr>
          <w:rFonts w:ascii="Times New Roman" w:hAnsi="Times New Roman" w:cs="Times New Roman"/>
          <w:sz w:val="22"/>
          <w:szCs w:val="22"/>
        </w:rPr>
      </w:pPr>
    </w:p>
    <w:p w14:paraId="2688E119"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i. Los estados financieros del programa de subvención.</w:t>
      </w:r>
    </w:p>
    <w:p w14:paraId="6C3047E8" w14:textId="77777777" w:rsidR="00AB1293" w:rsidRPr="00077A67" w:rsidRDefault="00AB1293">
      <w:pPr>
        <w:rPr>
          <w:rFonts w:ascii="Times New Roman" w:hAnsi="Times New Roman" w:cs="Times New Roman"/>
          <w:sz w:val="22"/>
          <w:szCs w:val="22"/>
        </w:rPr>
      </w:pPr>
    </w:p>
    <w:p w14:paraId="13438898" w14:textId="2095373F"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ii. Los acuerdos de subvención y de sub-subvención</w:t>
      </w:r>
      <w:r w:rsidR="00BC6031">
        <w:rPr>
          <w:rFonts w:ascii="Times New Roman" w:hAnsi="Times New Roman" w:cs="Times New Roman"/>
          <w:sz w:val="22"/>
          <w:szCs w:val="22"/>
        </w:rPr>
        <w:t xml:space="preserve"> incluidos los presupuestos detallados</w:t>
      </w:r>
      <w:r w:rsidRPr="00077A67">
        <w:rPr>
          <w:rFonts w:ascii="Times New Roman" w:hAnsi="Times New Roman" w:cs="Times New Roman"/>
          <w:sz w:val="22"/>
          <w:szCs w:val="22"/>
        </w:rPr>
        <w:t>.</w:t>
      </w:r>
    </w:p>
    <w:p w14:paraId="20DBE5B2" w14:textId="77777777" w:rsidR="00AB1293" w:rsidRPr="00077A67" w:rsidRDefault="00AB1293">
      <w:pPr>
        <w:rPr>
          <w:rFonts w:ascii="Times New Roman" w:hAnsi="Times New Roman" w:cs="Times New Roman"/>
          <w:sz w:val="22"/>
          <w:szCs w:val="22"/>
        </w:rPr>
      </w:pPr>
    </w:p>
    <w:p w14:paraId="2F07932A"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iii. Los principales calendarios justificativos de los estados financieros que incluyan:</w:t>
      </w:r>
    </w:p>
    <w:p w14:paraId="50A58042"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registros de ingresos y gastos, activos y pasivos, y efectivo.</w:t>
      </w:r>
    </w:p>
    <w:p w14:paraId="7836412F" w14:textId="77777777" w:rsidR="00AB1293" w:rsidRPr="00077A67" w:rsidRDefault="00AB1293">
      <w:pPr>
        <w:rPr>
          <w:rFonts w:ascii="Times New Roman" w:hAnsi="Times New Roman" w:cs="Times New Roman"/>
          <w:sz w:val="22"/>
          <w:szCs w:val="22"/>
        </w:rPr>
      </w:pPr>
    </w:p>
    <w:p w14:paraId="546FA6C7"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iv. Informes provisionales mensuales o trimestrales de las actividades de subvención</w:t>
      </w:r>
    </w:p>
    <w:p w14:paraId="5A5E0020"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(tanto programáticas como financieras).</w:t>
      </w:r>
    </w:p>
    <w:p w14:paraId="6337B1AD" w14:textId="77777777" w:rsidR="00AB1293" w:rsidRPr="00077A67" w:rsidRDefault="00AB1293">
      <w:pPr>
        <w:rPr>
          <w:rFonts w:ascii="Times New Roman" w:hAnsi="Times New Roman" w:cs="Times New Roman"/>
          <w:sz w:val="22"/>
          <w:szCs w:val="22"/>
        </w:rPr>
      </w:pPr>
    </w:p>
    <w:p w14:paraId="6AA822D2" w14:textId="073A04BC"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v. El libro mayor, el libro de caja, y otros libros y registros importantes</w:t>
      </w:r>
      <w:r w:rsidR="00BC6031">
        <w:rPr>
          <w:rFonts w:ascii="Times New Roman" w:hAnsi="Times New Roman" w:cs="Times New Roman"/>
          <w:sz w:val="22"/>
          <w:szCs w:val="22"/>
        </w:rPr>
        <w:t xml:space="preserve"> mantenidos a nivel del Reeptor Principal o del Subreceptor</w:t>
      </w:r>
      <w:r w:rsidRPr="00077A67">
        <w:rPr>
          <w:rFonts w:ascii="Times New Roman" w:hAnsi="Times New Roman" w:cs="Times New Roman"/>
          <w:sz w:val="22"/>
          <w:szCs w:val="22"/>
        </w:rPr>
        <w:t>.</w:t>
      </w:r>
    </w:p>
    <w:p w14:paraId="4F4CBE7C" w14:textId="77777777" w:rsidR="00AB1293" w:rsidRPr="00077A67" w:rsidRDefault="00AB1293">
      <w:pPr>
        <w:rPr>
          <w:rFonts w:ascii="Times New Roman" w:hAnsi="Times New Roman" w:cs="Times New Roman"/>
          <w:sz w:val="22"/>
          <w:szCs w:val="22"/>
        </w:rPr>
      </w:pPr>
    </w:p>
    <w:p w14:paraId="4E347FFA" w14:textId="1448E7F5"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vi. Documentación</w:t>
      </w:r>
      <w:r w:rsidR="00BC6031">
        <w:rPr>
          <w:rFonts w:ascii="Times New Roman" w:hAnsi="Times New Roman" w:cs="Times New Roman"/>
          <w:sz w:val="22"/>
          <w:szCs w:val="22"/>
        </w:rPr>
        <w:t xml:space="preserve"> de respaldo</w:t>
      </w:r>
      <w:r w:rsidRPr="00077A67">
        <w:rPr>
          <w:rFonts w:ascii="Times New Roman" w:hAnsi="Times New Roman" w:cs="Times New Roman"/>
          <w:sz w:val="22"/>
          <w:szCs w:val="22"/>
        </w:rPr>
        <w:t xml:space="preserve"> original justificativa de todos los gastos registrados (facturas, justificación de cualquier adquisición de productos sanitarios u otras adquisiciones que requieren procesos de licitación, nóminas, comprobantes bancarios, comprobantes del libro diario, etc.).</w:t>
      </w:r>
    </w:p>
    <w:p w14:paraId="4F1E66FF" w14:textId="77777777" w:rsidR="00AB1293" w:rsidRPr="00077A67" w:rsidRDefault="00AB1293">
      <w:pPr>
        <w:rPr>
          <w:rFonts w:ascii="Times New Roman" w:hAnsi="Times New Roman" w:cs="Times New Roman"/>
          <w:sz w:val="22"/>
          <w:szCs w:val="22"/>
        </w:rPr>
      </w:pPr>
    </w:p>
    <w:p w14:paraId="5C6221EC"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vii. Extractos bancarios.</w:t>
      </w:r>
    </w:p>
    <w:p w14:paraId="3BBC3A0B" w14:textId="77777777" w:rsidR="00AB1293" w:rsidRPr="00077A67" w:rsidRDefault="00AB1293">
      <w:pPr>
        <w:rPr>
          <w:rFonts w:ascii="Times New Roman" w:hAnsi="Times New Roman" w:cs="Times New Roman"/>
          <w:sz w:val="22"/>
          <w:szCs w:val="22"/>
        </w:rPr>
      </w:pPr>
    </w:p>
    <w:p w14:paraId="3F0B93A2"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viii. Correspondencia importante entre el Fondo Mundial y el Receptor Principal, y el Receptor Principal y los subreceptores relacionada con la ejecución de la subvención.</w:t>
      </w:r>
    </w:p>
    <w:p w14:paraId="3A2B8D50" w14:textId="77777777" w:rsidR="00AB1293" w:rsidRPr="00077A67" w:rsidRDefault="00AB1293">
      <w:pPr>
        <w:rPr>
          <w:rFonts w:ascii="Times New Roman" w:hAnsi="Times New Roman" w:cs="Times New Roman"/>
          <w:sz w:val="22"/>
          <w:szCs w:val="22"/>
        </w:rPr>
      </w:pPr>
    </w:p>
    <w:p w14:paraId="33D8F946"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ix. Manuales de procedimientos financieros, descripciones de sistemas y cualquier otra documentación que explique los procesos que contribuyen a la elaboración de informes financieros fiables y al mantenimiento del control interno.</w:t>
      </w:r>
    </w:p>
    <w:p w14:paraId="25DFC9A6" w14:textId="77777777" w:rsidR="00AB1293" w:rsidRPr="00077A67" w:rsidRDefault="00AB1293">
      <w:pPr>
        <w:rPr>
          <w:rFonts w:ascii="Times New Roman" w:hAnsi="Times New Roman" w:cs="Times New Roman"/>
          <w:sz w:val="22"/>
          <w:szCs w:val="22"/>
        </w:rPr>
      </w:pPr>
    </w:p>
    <w:p w14:paraId="1547A945"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x. Actas de las reuniones de gestión.</w:t>
      </w:r>
    </w:p>
    <w:p w14:paraId="793565E0" w14:textId="77777777" w:rsidR="00AB1293" w:rsidRPr="00077A67" w:rsidRDefault="00AB1293">
      <w:pPr>
        <w:rPr>
          <w:rFonts w:ascii="Times New Roman" w:hAnsi="Times New Roman" w:cs="Times New Roman"/>
          <w:sz w:val="22"/>
          <w:szCs w:val="22"/>
        </w:rPr>
      </w:pPr>
    </w:p>
    <w:p w14:paraId="109229DB"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xi. Informes de auditoría internos relacionados con gastos del Fondo Mundial u otros sistemas, la gobernanza u otros aspectos relativos a las subvenciones del Fondo Mundial.</w:t>
      </w:r>
    </w:p>
    <w:p w14:paraId="525C6430" w14:textId="77777777" w:rsidR="00AB1293" w:rsidRPr="00077A67" w:rsidRDefault="00AB1293">
      <w:pPr>
        <w:rPr>
          <w:rFonts w:ascii="Times New Roman" w:hAnsi="Times New Roman" w:cs="Times New Roman"/>
          <w:sz w:val="22"/>
          <w:szCs w:val="22"/>
        </w:rPr>
      </w:pPr>
    </w:p>
    <w:p w14:paraId="3D7C7707" w14:textId="77777777" w:rsidR="00AB1293" w:rsidRPr="00077A67" w:rsidRDefault="00511DD4">
      <w:pPr>
        <w:rPr>
          <w:rFonts w:ascii="Times New Roman" w:hAnsi="Times New Roman" w:cs="Times New Roman"/>
          <w:b/>
          <w:bCs/>
          <w:sz w:val="22"/>
          <w:szCs w:val="22"/>
        </w:rPr>
      </w:pPr>
      <w:r w:rsidRPr="00077A67">
        <w:rPr>
          <w:rFonts w:ascii="Times New Roman" w:hAnsi="Times New Roman" w:cs="Times New Roman"/>
          <w:b/>
          <w:bCs/>
          <w:sz w:val="22"/>
          <w:szCs w:val="22"/>
        </w:rPr>
        <w:t>4. Objetivos de la auditoría</w:t>
      </w:r>
    </w:p>
    <w:p w14:paraId="6AEF2F77" w14:textId="77777777" w:rsidR="00AB1293" w:rsidRPr="00077A67" w:rsidRDefault="00AB1293">
      <w:pPr>
        <w:rPr>
          <w:rFonts w:ascii="Times New Roman" w:hAnsi="Times New Roman" w:cs="Times New Roman"/>
          <w:sz w:val="22"/>
          <w:szCs w:val="22"/>
        </w:rPr>
      </w:pPr>
    </w:p>
    <w:p w14:paraId="74FCE5F5"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4.1. El objetivo de la auditoría de los estados financieros del programa de subvención es permitir al auditor expresar una opinión profesional independiente sobre:</w:t>
      </w:r>
    </w:p>
    <w:p w14:paraId="250EE06A" w14:textId="77777777" w:rsidR="00AB1293" w:rsidRPr="00077A67" w:rsidRDefault="00AB1293">
      <w:pPr>
        <w:rPr>
          <w:rFonts w:ascii="Times New Roman" w:hAnsi="Times New Roman" w:cs="Times New Roman"/>
          <w:sz w:val="22"/>
          <w:szCs w:val="22"/>
        </w:rPr>
      </w:pPr>
    </w:p>
    <w:p w14:paraId="46C41873" w14:textId="71016BED"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 xml:space="preserve">i. Si </w:t>
      </w:r>
      <w:r w:rsidR="00BE6454">
        <w:rPr>
          <w:rFonts w:ascii="Times New Roman" w:hAnsi="Times New Roman" w:cs="Times New Roman"/>
          <w:sz w:val="22"/>
          <w:szCs w:val="22"/>
        </w:rPr>
        <w:t xml:space="preserve">los estados financieros de la Subvención para fines especiales presentan </w:t>
      </w:r>
      <w:r w:rsidR="00955124">
        <w:rPr>
          <w:rFonts w:ascii="Times New Roman" w:hAnsi="Times New Roman" w:cs="Times New Roman"/>
          <w:sz w:val="22"/>
          <w:szCs w:val="22"/>
        </w:rPr>
        <w:t>razonablemente</w:t>
      </w:r>
      <w:r w:rsidR="00BE6454">
        <w:rPr>
          <w:rFonts w:ascii="Times New Roman" w:hAnsi="Times New Roman" w:cs="Times New Roman"/>
          <w:sz w:val="22"/>
          <w:szCs w:val="22"/>
        </w:rPr>
        <w:t xml:space="preserve"> en todos los aspectos materiales </w:t>
      </w:r>
      <w:r w:rsidRPr="00077A67">
        <w:rPr>
          <w:rFonts w:ascii="Times New Roman" w:hAnsi="Times New Roman" w:cs="Times New Roman"/>
          <w:sz w:val="22"/>
          <w:szCs w:val="22"/>
        </w:rPr>
        <w:t>la situación financ</w:t>
      </w:r>
      <w:r w:rsidR="00BE6454">
        <w:rPr>
          <w:rFonts w:ascii="Times New Roman" w:hAnsi="Times New Roman" w:cs="Times New Roman"/>
          <w:sz w:val="22"/>
          <w:szCs w:val="22"/>
        </w:rPr>
        <w:t>iera del programa de subvención,</w:t>
      </w:r>
      <w:r w:rsidRPr="00077A67">
        <w:rPr>
          <w:rFonts w:ascii="Times New Roman" w:hAnsi="Times New Roman" w:cs="Times New Roman"/>
          <w:sz w:val="22"/>
          <w:szCs w:val="22"/>
        </w:rPr>
        <w:t xml:space="preserve"> los fondos recibidos y los gastos </w:t>
      </w:r>
      <w:r w:rsidR="00BE6454">
        <w:rPr>
          <w:rFonts w:ascii="Times New Roman" w:hAnsi="Times New Roman" w:cs="Times New Roman"/>
          <w:sz w:val="22"/>
          <w:szCs w:val="22"/>
        </w:rPr>
        <w:t xml:space="preserve">del Receptor Principal (y Subreceptores) </w:t>
      </w:r>
      <w:r w:rsidRPr="00077A67">
        <w:rPr>
          <w:rFonts w:ascii="Times New Roman" w:hAnsi="Times New Roman" w:cs="Times New Roman"/>
          <w:sz w:val="22"/>
          <w:szCs w:val="22"/>
        </w:rPr>
        <w:t xml:space="preserve">para ese mismo periodo </w:t>
      </w:r>
      <w:r w:rsidR="00BE6454">
        <w:rPr>
          <w:rFonts w:ascii="Times New Roman" w:hAnsi="Times New Roman" w:cs="Times New Roman"/>
          <w:sz w:val="22"/>
          <w:szCs w:val="22"/>
        </w:rPr>
        <w:t>de reporte y de acuerdo</w:t>
      </w:r>
      <w:r w:rsidRPr="00077A67">
        <w:rPr>
          <w:rFonts w:ascii="Times New Roman" w:hAnsi="Times New Roman" w:cs="Times New Roman"/>
          <w:sz w:val="22"/>
          <w:szCs w:val="22"/>
        </w:rPr>
        <w:t xml:space="preserve"> al marco de contabilidad aplicable.</w:t>
      </w:r>
    </w:p>
    <w:p w14:paraId="6BEADABA" w14:textId="77777777" w:rsidR="00AB1293" w:rsidRPr="00077A67" w:rsidRDefault="00AB1293">
      <w:pPr>
        <w:rPr>
          <w:rFonts w:ascii="Times New Roman" w:hAnsi="Times New Roman" w:cs="Times New Roman"/>
          <w:sz w:val="22"/>
          <w:szCs w:val="22"/>
        </w:rPr>
      </w:pPr>
    </w:p>
    <w:p w14:paraId="2BD60171" w14:textId="45AD63A2"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lastRenderedPageBreak/>
        <w:t>ii. Si, en todos los aspectos</w:t>
      </w:r>
      <w:r w:rsidR="00BE6454">
        <w:rPr>
          <w:rFonts w:ascii="Times New Roman" w:hAnsi="Times New Roman" w:cs="Times New Roman"/>
          <w:sz w:val="22"/>
          <w:szCs w:val="22"/>
        </w:rPr>
        <w:t xml:space="preserve"> materiales</w:t>
      </w:r>
      <w:r w:rsidRPr="00077A67">
        <w:rPr>
          <w:rFonts w:ascii="Times New Roman" w:hAnsi="Times New Roman" w:cs="Times New Roman"/>
          <w:sz w:val="22"/>
          <w:szCs w:val="22"/>
        </w:rPr>
        <w:t xml:space="preserve">, los fondos de subvención se han utilizado de conformidad con las disposiciones del acuerdo de subvención, incluido el presupuesto y el plan de trabajo aprobados y cualquier modificación de estos según lo dispuesto en las cartas de </w:t>
      </w:r>
      <w:r w:rsidR="00BE6454">
        <w:rPr>
          <w:rFonts w:ascii="Times New Roman" w:hAnsi="Times New Roman" w:cs="Times New Roman"/>
          <w:sz w:val="22"/>
          <w:szCs w:val="22"/>
        </w:rPr>
        <w:t>implementación</w:t>
      </w:r>
      <w:r w:rsidRPr="00077A67">
        <w:rPr>
          <w:rFonts w:ascii="Times New Roman" w:hAnsi="Times New Roman" w:cs="Times New Roman"/>
          <w:sz w:val="22"/>
          <w:szCs w:val="22"/>
        </w:rPr>
        <w:t>.</w:t>
      </w:r>
    </w:p>
    <w:p w14:paraId="4C0206DE" w14:textId="77777777" w:rsidR="00AB1293" w:rsidRPr="00077A67" w:rsidRDefault="00AB1293" w:rsidP="00914CD9">
      <w:pPr>
        <w:jc w:val="both"/>
        <w:rPr>
          <w:rFonts w:ascii="Times New Roman" w:hAnsi="Times New Roman" w:cs="Times New Roman"/>
          <w:sz w:val="22"/>
          <w:szCs w:val="22"/>
        </w:rPr>
      </w:pPr>
    </w:p>
    <w:p w14:paraId="7CBA6227" w14:textId="4806BA6C" w:rsidR="00AB1293" w:rsidRPr="00077A67" w:rsidRDefault="00955124" w:rsidP="00914CD9">
      <w:pPr>
        <w:jc w:val="both"/>
        <w:rPr>
          <w:rFonts w:ascii="Times New Roman" w:hAnsi="Times New Roman" w:cs="Times New Roman"/>
          <w:sz w:val="22"/>
          <w:szCs w:val="22"/>
        </w:rPr>
      </w:pPr>
      <w:r>
        <w:rPr>
          <w:rFonts w:ascii="Times New Roman" w:hAnsi="Times New Roman" w:cs="Times New Roman"/>
          <w:sz w:val="22"/>
          <w:szCs w:val="22"/>
        </w:rPr>
        <w:t>4</w:t>
      </w:r>
      <w:r w:rsidR="00511DD4" w:rsidRPr="00077A67">
        <w:rPr>
          <w:rFonts w:ascii="Times New Roman" w:hAnsi="Times New Roman" w:cs="Times New Roman"/>
          <w:sz w:val="22"/>
          <w:szCs w:val="22"/>
        </w:rPr>
        <w:t>.</w:t>
      </w:r>
      <w:r>
        <w:rPr>
          <w:rFonts w:ascii="Times New Roman" w:hAnsi="Times New Roman" w:cs="Times New Roman"/>
          <w:sz w:val="22"/>
          <w:szCs w:val="22"/>
        </w:rPr>
        <w:t>2</w:t>
      </w:r>
      <w:r w:rsidR="00511DD4" w:rsidRPr="00077A67">
        <w:rPr>
          <w:rFonts w:ascii="Times New Roman" w:hAnsi="Times New Roman" w:cs="Times New Roman"/>
          <w:sz w:val="22"/>
          <w:szCs w:val="22"/>
        </w:rPr>
        <w:t xml:space="preserve"> </w:t>
      </w:r>
      <w:r>
        <w:rPr>
          <w:rFonts w:ascii="Times New Roman" w:hAnsi="Times New Roman" w:cs="Times New Roman"/>
          <w:sz w:val="22"/>
          <w:szCs w:val="22"/>
        </w:rPr>
        <w:t>El objetivo de la auditoría también es evaluar, obtener suficiente comprensión y comentar si el marco de control interno del programa es satisfactorio e informar sobre las debilidades identificadas. El auditor debe revisar el marco de control interno del Receptor Principal y Subreceptores clave identificados por el equipo país del Fondos Mundial en consulta con el Receptor Principal. Esta revisión incluye a cualquier agente externo que administre un proceso en la implementación de la subvención.</w:t>
      </w:r>
    </w:p>
    <w:p w14:paraId="6F7A5F84" w14:textId="77777777" w:rsidR="00955124" w:rsidRDefault="00955124" w:rsidP="00914CD9">
      <w:pPr>
        <w:jc w:val="both"/>
        <w:rPr>
          <w:rFonts w:ascii="Times New Roman" w:hAnsi="Times New Roman" w:cs="Times New Roman"/>
          <w:b/>
          <w:bCs/>
          <w:sz w:val="22"/>
          <w:szCs w:val="22"/>
        </w:rPr>
      </w:pPr>
    </w:p>
    <w:p w14:paraId="5ECA058E" w14:textId="261BE469"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 xml:space="preserve">5. Responsabilidad de la elaboración de los Estados Financieros </w:t>
      </w:r>
      <w:r w:rsidR="00862BB1">
        <w:rPr>
          <w:rFonts w:ascii="Times New Roman" w:hAnsi="Times New Roman" w:cs="Times New Roman"/>
          <w:b/>
          <w:bCs/>
          <w:sz w:val="22"/>
          <w:szCs w:val="22"/>
        </w:rPr>
        <w:t xml:space="preserve">de Subvenciones para fines especiales </w:t>
      </w:r>
      <w:r w:rsidRPr="00077A67">
        <w:rPr>
          <w:rFonts w:ascii="Times New Roman" w:hAnsi="Times New Roman" w:cs="Times New Roman"/>
          <w:b/>
          <w:bCs/>
          <w:sz w:val="22"/>
          <w:szCs w:val="22"/>
        </w:rPr>
        <w:t>(EF</w:t>
      </w:r>
      <w:r w:rsidR="00862BB1">
        <w:rPr>
          <w:rFonts w:ascii="Times New Roman" w:hAnsi="Times New Roman" w:cs="Times New Roman"/>
          <w:b/>
          <w:bCs/>
          <w:sz w:val="22"/>
          <w:szCs w:val="22"/>
        </w:rPr>
        <w:t>SFE</w:t>
      </w:r>
      <w:r w:rsidRPr="00077A67">
        <w:rPr>
          <w:rFonts w:ascii="Times New Roman" w:hAnsi="Times New Roman" w:cs="Times New Roman"/>
          <w:b/>
          <w:bCs/>
          <w:sz w:val="22"/>
          <w:szCs w:val="22"/>
        </w:rPr>
        <w:t>).</w:t>
      </w:r>
    </w:p>
    <w:p w14:paraId="07440F5A" w14:textId="77777777" w:rsidR="00AB1293" w:rsidRPr="00077A67" w:rsidRDefault="00AB1293" w:rsidP="00914CD9">
      <w:pPr>
        <w:jc w:val="both"/>
        <w:rPr>
          <w:rFonts w:ascii="Times New Roman" w:hAnsi="Times New Roman" w:cs="Times New Roman"/>
          <w:sz w:val="22"/>
          <w:szCs w:val="22"/>
        </w:rPr>
      </w:pPr>
    </w:p>
    <w:p w14:paraId="590D9F59"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5.1. La responsabilidad de la elaboración de los estados financieros del programa de subvención, consolidados o independientes para cada entidad cubierta en la auditoría, si corresponde, recae en el Receptor Principal que delega la responsabilidad en los subreceptores para sus respectivas sub-subvenciones.</w:t>
      </w:r>
    </w:p>
    <w:p w14:paraId="7AA70740" w14:textId="77777777" w:rsidR="00AB1293" w:rsidRPr="00077A67" w:rsidRDefault="00AB1293" w:rsidP="00914CD9">
      <w:pPr>
        <w:jc w:val="both"/>
        <w:rPr>
          <w:rFonts w:ascii="Times New Roman" w:hAnsi="Times New Roman" w:cs="Times New Roman"/>
          <w:sz w:val="22"/>
          <w:szCs w:val="22"/>
        </w:rPr>
      </w:pPr>
    </w:p>
    <w:p w14:paraId="74CE0DFE" w14:textId="12340C0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6. Estados financieros</w:t>
      </w:r>
      <w:r w:rsidR="00D82567">
        <w:rPr>
          <w:rFonts w:ascii="Times New Roman" w:hAnsi="Times New Roman" w:cs="Times New Roman"/>
          <w:b/>
          <w:bCs/>
          <w:sz w:val="22"/>
          <w:szCs w:val="22"/>
        </w:rPr>
        <w:t xml:space="preserve"> de propósito especial de la subvención para la auditoría financiera</w:t>
      </w:r>
    </w:p>
    <w:p w14:paraId="1FFBD145" w14:textId="77777777" w:rsidR="00AB1293" w:rsidRPr="00077A67" w:rsidRDefault="00AB1293" w:rsidP="00914CD9">
      <w:pPr>
        <w:jc w:val="both"/>
        <w:rPr>
          <w:rFonts w:ascii="Times New Roman" w:hAnsi="Times New Roman" w:cs="Times New Roman"/>
          <w:sz w:val="22"/>
          <w:szCs w:val="22"/>
        </w:rPr>
      </w:pPr>
    </w:p>
    <w:p w14:paraId="1A98119F" w14:textId="74F5904A"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 xml:space="preserve">Los estados financieros </w:t>
      </w:r>
      <w:r w:rsidR="00D82567">
        <w:rPr>
          <w:rFonts w:ascii="Times New Roman" w:hAnsi="Times New Roman" w:cs="Times New Roman"/>
          <w:sz w:val="22"/>
          <w:szCs w:val="22"/>
        </w:rPr>
        <w:t>de propósito especial de la subvención deberán presentarse en el siguiente orden</w:t>
      </w:r>
      <w:r w:rsidRPr="00077A67">
        <w:rPr>
          <w:rFonts w:ascii="Times New Roman" w:hAnsi="Times New Roman" w:cs="Times New Roman"/>
          <w:sz w:val="22"/>
          <w:szCs w:val="22"/>
        </w:rPr>
        <w:t>:</w:t>
      </w:r>
    </w:p>
    <w:p w14:paraId="56E8B429" w14:textId="77777777" w:rsidR="00AB1293" w:rsidRPr="00077A67" w:rsidRDefault="00AB1293" w:rsidP="00914CD9">
      <w:pPr>
        <w:jc w:val="both"/>
        <w:rPr>
          <w:rFonts w:ascii="Times New Roman" w:hAnsi="Times New Roman" w:cs="Times New Roman"/>
          <w:sz w:val="22"/>
          <w:szCs w:val="22"/>
        </w:rPr>
      </w:pPr>
    </w:p>
    <w:p w14:paraId="385479F6" w14:textId="0C160E8A"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i. En la moneda del Acuerdo de Subvención, un estado de ingresos y gastos que muestre los fondos recibidos del Fondo Mundial y cualquier otro ingreso</w:t>
      </w:r>
      <w:r w:rsidR="00D82567">
        <w:rPr>
          <w:rFonts w:ascii="Times New Roman" w:hAnsi="Times New Roman" w:cs="Times New Roman"/>
          <w:sz w:val="22"/>
          <w:szCs w:val="22"/>
        </w:rPr>
        <w:t xml:space="preserve"> relacionado con la subvención</w:t>
      </w:r>
      <w:r w:rsidRPr="00077A67">
        <w:rPr>
          <w:rFonts w:ascii="Times New Roman" w:hAnsi="Times New Roman" w:cs="Times New Roman"/>
          <w:sz w:val="22"/>
          <w:szCs w:val="22"/>
        </w:rPr>
        <w:t>, así como todos los gastos de subvención</w:t>
      </w:r>
      <w:r w:rsidR="00D82567">
        <w:rPr>
          <w:rFonts w:ascii="Times New Roman" w:hAnsi="Times New Roman" w:cs="Times New Roman"/>
          <w:sz w:val="22"/>
          <w:szCs w:val="22"/>
        </w:rPr>
        <w:t xml:space="preserve"> de los períodos actual y acumulativos. L</w:t>
      </w:r>
      <w:r w:rsidRPr="00077A67">
        <w:rPr>
          <w:rFonts w:ascii="Times New Roman" w:hAnsi="Times New Roman" w:cs="Times New Roman"/>
          <w:sz w:val="22"/>
          <w:szCs w:val="22"/>
        </w:rPr>
        <w:t xml:space="preserve">os gastos de subvención </w:t>
      </w:r>
      <w:r w:rsidR="00D82567">
        <w:rPr>
          <w:rFonts w:ascii="Times New Roman" w:hAnsi="Times New Roman" w:cs="Times New Roman"/>
          <w:sz w:val="22"/>
          <w:szCs w:val="22"/>
        </w:rPr>
        <w:t xml:space="preserve">y las variaciones deberán reportarse con respecto </w:t>
      </w:r>
      <w:r w:rsidRPr="00077A67">
        <w:rPr>
          <w:rFonts w:ascii="Times New Roman" w:hAnsi="Times New Roman" w:cs="Times New Roman"/>
          <w:sz w:val="22"/>
          <w:szCs w:val="22"/>
        </w:rPr>
        <w:t xml:space="preserve"> al presupuesto defin</w:t>
      </w:r>
      <w:r w:rsidR="00D82567">
        <w:rPr>
          <w:rFonts w:ascii="Times New Roman" w:hAnsi="Times New Roman" w:cs="Times New Roman"/>
          <w:sz w:val="22"/>
          <w:szCs w:val="22"/>
        </w:rPr>
        <w:t xml:space="preserve">ido </w:t>
      </w:r>
      <w:r w:rsidRPr="00077A67">
        <w:rPr>
          <w:rFonts w:ascii="Times New Roman" w:hAnsi="Times New Roman" w:cs="Times New Roman"/>
          <w:sz w:val="22"/>
          <w:szCs w:val="22"/>
        </w:rPr>
        <w:t>en el Acuerdo de Subvención para el período</w:t>
      </w:r>
      <w:r w:rsidR="00D82567">
        <w:rPr>
          <w:rFonts w:ascii="Times New Roman" w:hAnsi="Times New Roman" w:cs="Times New Roman"/>
          <w:sz w:val="22"/>
          <w:szCs w:val="22"/>
        </w:rPr>
        <w:t xml:space="preserve"> correspondiente.</w:t>
      </w:r>
    </w:p>
    <w:p w14:paraId="1BD7AFE1" w14:textId="77777777" w:rsidR="00AB1293" w:rsidRPr="00077A67" w:rsidRDefault="00AB1293" w:rsidP="00914CD9">
      <w:pPr>
        <w:jc w:val="both"/>
        <w:rPr>
          <w:rFonts w:ascii="Times New Roman" w:hAnsi="Times New Roman" w:cs="Times New Roman"/>
          <w:sz w:val="22"/>
          <w:szCs w:val="22"/>
        </w:rPr>
      </w:pPr>
    </w:p>
    <w:p w14:paraId="63161C7C" w14:textId="1CB43F7A"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i</w:t>
      </w:r>
      <w:r w:rsidR="00BC6031">
        <w:rPr>
          <w:rFonts w:ascii="Times New Roman" w:hAnsi="Times New Roman" w:cs="Times New Roman"/>
          <w:sz w:val="22"/>
          <w:szCs w:val="22"/>
        </w:rPr>
        <w:t>i</w:t>
      </w:r>
      <w:r w:rsidRPr="00077A67">
        <w:rPr>
          <w:rFonts w:ascii="Times New Roman" w:hAnsi="Times New Roman" w:cs="Times New Roman"/>
          <w:sz w:val="22"/>
          <w:szCs w:val="22"/>
        </w:rPr>
        <w:t xml:space="preserve">. </w:t>
      </w:r>
      <w:r w:rsidR="00D82567">
        <w:rPr>
          <w:rFonts w:ascii="Times New Roman" w:hAnsi="Times New Roman" w:cs="Times New Roman"/>
          <w:sz w:val="22"/>
          <w:szCs w:val="22"/>
        </w:rPr>
        <w:t>Cualquier o</w:t>
      </w:r>
      <w:r w:rsidRPr="00077A67">
        <w:rPr>
          <w:rFonts w:ascii="Times New Roman" w:hAnsi="Times New Roman" w:cs="Times New Roman"/>
          <w:sz w:val="22"/>
          <w:szCs w:val="22"/>
        </w:rPr>
        <w:t xml:space="preserve">tra </w:t>
      </w:r>
      <w:r w:rsidR="00D40436">
        <w:rPr>
          <w:rFonts w:ascii="Times New Roman" w:hAnsi="Times New Roman" w:cs="Times New Roman"/>
          <w:sz w:val="22"/>
          <w:szCs w:val="22"/>
        </w:rPr>
        <w:t>nota o nota</w:t>
      </w:r>
      <w:r w:rsidR="00D82567">
        <w:rPr>
          <w:rFonts w:ascii="Times New Roman" w:hAnsi="Times New Roman" w:cs="Times New Roman"/>
          <w:sz w:val="22"/>
          <w:szCs w:val="22"/>
        </w:rPr>
        <w:t>s</w:t>
      </w:r>
      <w:r w:rsidR="00D40436">
        <w:rPr>
          <w:rFonts w:ascii="Times New Roman" w:hAnsi="Times New Roman" w:cs="Times New Roman"/>
          <w:sz w:val="22"/>
          <w:szCs w:val="22"/>
        </w:rPr>
        <w:t xml:space="preserve"> al pie con </w:t>
      </w:r>
      <w:r w:rsidRPr="00077A67">
        <w:rPr>
          <w:rFonts w:ascii="Times New Roman" w:hAnsi="Times New Roman" w:cs="Times New Roman"/>
          <w:sz w:val="22"/>
          <w:szCs w:val="22"/>
        </w:rPr>
        <w:t>referencias pertinentes.</w:t>
      </w:r>
    </w:p>
    <w:p w14:paraId="624FB110" w14:textId="77777777" w:rsidR="00AB1293" w:rsidRPr="00077A67" w:rsidRDefault="00AB1293" w:rsidP="00914CD9">
      <w:pPr>
        <w:jc w:val="both"/>
        <w:rPr>
          <w:rFonts w:ascii="Times New Roman" w:hAnsi="Times New Roman" w:cs="Times New Roman"/>
          <w:sz w:val="22"/>
          <w:szCs w:val="22"/>
        </w:rPr>
      </w:pPr>
    </w:p>
    <w:p w14:paraId="2648A1DC" w14:textId="63D1C5D3" w:rsidR="00AB1293" w:rsidRPr="00077A67" w:rsidRDefault="00BC6031" w:rsidP="00914CD9">
      <w:pPr>
        <w:jc w:val="both"/>
        <w:rPr>
          <w:rFonts w:ascii="Times New Roman" w:hAnsi="Times New Roman" w:cs="Times New Roman"/>
          <w:sz w:val="22"/>
          <w:szCs w:val="22"/>
        </w:rPr>
      </w:pPr>
      <w:r>
        <w:rPr>
          <w:rFonts w:ascii="Times New Roman" w:hAnsi="Times New Roman" w:cs="Times New Roman"/>
          <w:sz w:val="22"/>
          <w:szCs w:val="22"/>
        </w:rPr>
        <w:t>iii</w:t>
      </w:r>
      <w:r w:rsidR="00511DD4" w:rsidRPr="00077A67">
        <w:rPr>
          <w:rFonts w:ascii="Times New Roman" w:hAnsi="Times New Roman" w:cs="Times New Roman"/>
          <w:sz w:val="22"/>
          <w:szCs w:val="22"/>
        </w:rPr>
        <w:t>. Estados complementarios de los anticipos y los activos fijos, incluyendo:</w:t>
      </w:r>
    </w:p>
    <w:p w14:paraId="4B762FBD" w14:textId="77777777" w:rsidR="00AB1293" w:rsidRPr="00077A67" w:rsidRDefault="00AB1293" w:rsidP="00914CD9">
      <w:pPr>
        <w:jc w:val="both"/>
        <w:rPr>
          <w:rFonts w:ascii="Times New Roman" w:hAnsi="Times New Roman" w:cs="Times New Roman"/>
          <w:sz w:val="22"/>
          <w:szCs w:val="22"/>
        </w:rPr>
      </w:pPr>
    </w:p>
    <w:p w14:paraId="1012560E" w14:textId="417FDCF2" w:rsidR="00AB1293" w:rsidRPr="00077A67" w:rsidRDefault="00724D58" w:rsidP="00914CD9">
      <w:pPr>
        <w:ind w:left="737"/>
        <w:jc w:val="both"/>
        <w:rPr>
          <w:rFonts w:ascii="Times New Roman" w:hAnsi="Times New Roman" w:cs="Times New Roman"/>
          <w:sz w:val="22"/>
          <w:szCs w:val="22"/>
        </w:rPr>
      </w:pPr>
      <w:r>
        <w:rPr>
          <w:rFonts w:ascii="Times New Roman" w:hAnsi="Times New Roman" w:cs="Times New Roman"/>
          <w:sz w:val="22"/>
          <w:szCs w:val="22"/>
        </w:rPr>
        <w:t>a</w:t>
      </w:r>
      <w:r w:rsidR="00D82567">
        <w:rPr>
          <w:rFonts w:ascii="Times New Roman" w:hAnsi="Times New Roman" w:cs="Times New Roman"/>
          <w:sz w:val="22"/>
          <w:szCs w:val="22"/>
        </w:rPr>
        <w:t xml:space="preserve">) </w:t>
      </w:r>
      <w:r w:rsidR="00D82567" w:rsidRPr="00D82567">
        <w:rPr>
          <w:rFonts w:ascii="Times New Roman" w:hAnsi="Times New Roman" w:cs="Times New Roman"/>
          <w:sz w:val="22"/>
          <w:szCs w:val="22"/>
        </w:rPr>
        <w:t xml:space="preserve">Un </w:t>
      </w:r>
      <w:r w:rsidR="00511DD4" w:rsidRPr="00077A67">
        <w:rPr>
          <w:rFonts w:ascii="Times New Roman" w:hAnsi="Times New Roman" w:cs="Times New Roman"/>
          <w:sz w:val="22"/>
          <w:szCs w:val="22"/>
        </w:rPr>
        <w:t>estado que muestre los anticipos del Subr</w:t>
      </w:r>
      <w:r w:rsidR="0087498D">
        <w:rPr>
          <w:rFonts w:ascii="Times New Roman" w:hAnsi="Times New Roman" w:cs="Times New Roman"/>
          <w:sz w:val="22"/>
          <w:szCs w:val="22"/>
        </w:rPr>
        <w:t>eceptor y la conciliación del monto</w:t>
      </w:r>
      <w:r w:rsidR="00D82567" w:rsidRPr="00D82567">
        <w:rPr>
          <w:rFonts w:ascii="Times New Roman" w:hAnsi="Times New Roman" w:cs="Times New Roman"/>
          <w:sz w:val="22"/>
          <w:szCs w:val="22"/>
        </w:rPr>
        <w:t xml:space="preserve"> </w:t>
      </w:r>
      <w:r w:rsidR="0087498D">
        <w:rPr>
          <w:rFonts w:ascii="Times New Roman" w:hAnsi="Times New Roman" w:cs="Times New Roman"/>
          <w:sz w:val="22"/>
          <w:szCs w:val="22"/>
        </w:rPr>
        <w:t xml:space="preserve">total </w:t>
      </w:r>
      <w:r w:rsidR="00D82567" w:rsidRPr="00D82567">
        <w:rPr>
          <w:rFonts w:ascii="Times New Roman" w:hAnsi="Times New Roman" w:cs="Times New Roman"/>
          <w:sz w:val="22"/>
          <w:szCs w:val="22"/>
        </w:rPr>
        <w:t>de los fondos de subvención anticipados por el Receptor Principal a los subreceptores y el saldo de caja total de la subvención con los gastos registrados del Subreceptor y los saldos de caja del Receptor Principal/Subreceptor</w:t>
      </w:r>
      <w:r w:rsidR="00A5124F">
        <w:rPr>
          <w:rFonts w:ascii="Times New Roman" w:hAnsi="Times New Roman" w:cs="Times New Roman"/>
          <w:sz w:val="22"/>
          <w:szCs w:val="22"/>
        </w:rPr>
        <w:t xml:space="preserve"> </w:t>
      </w:r>
      <w:r w:rsidR="00D82567" w:rsidRPr="00D82567">
        <w:rPr>
          <w:rFonts w:ascii="Times New Roman" w:hAnsi="Times New Roman" w:cs="Times New Roman"/>
          <w:sz w:val="22"/>
          <w:szCs w:val="22"/>
        </w:rPr>
        <w:t xml:space="preserve"> al final del periodo de presentación de informes</w:t>
      </w:r>
      <w:r w:rsidR="0087498D">
        <w:rPr>
          <w:rFonts w:ascii="Times New Roman" w:hAnsi="Times New Roman" w:cs="Times New Roman"/>
          <w:sz w:val="22"/>
          <w:szCs w:val="22"/>
        </w:rPr>
        <w:t>.</w:t>
      </w:r>
    </w:p>
    <w:p w14:paraId="2A7C1C3F" w14:textId="77777777" w:rsidR="00AB1293" w:rsidRPr="00077A67" w:rsidRDefault="00AB1293" w:rsidP="00914CD9">
      <w:pPr>
        <w:ind w:left="737"/>
        <w:jc w:val="both"/>
        <w:rPr>
          <w:rFonts w:ascii="Times New Roman" w:hAnsi="Times New Roman" w:cs="Times New Roman"/>
          <w:sz w:val="22"/>
          <w:szCs w:val="22"/>
        </w:rPr>
      </w:pPr>
    </w:p>
    <w:p w14:paraId="76546976" w14:textId="2368E622" w:rsidR="00AB1293" w:rsidRDefault="00724D58" w:rsidP="00914CD9">
      <w:pPr>
        <w:jc w:val="both"/>
        <w:rPr>
          <w:rFonts w:ascii="Times New Roman" w:hAnsi="Times New Roman" w:cs="Times New Roman"/>
          <w:sz w:val="22"/>
          <w:szCs w:val="22"/>
        </w:rPr>
      </w:pPr>
      <w:r>
        <w:rPr>
          <w:rFonts w:ascii="Times New Roman" w:hAnsi="Times New Roman" w:cs="Times New Roman"/>
          <w:sz w:val="22"/>
          <w:szCs w:val="22"/>
        </w:rPr>
        <w:tab/>
        <w:t>b</w:t>
      </w:r>
      <w:r w:rsidR="00511DD4" w:rsidRPr="00077A67">
        <w:rPr>
          <w:rFonts w:ascii="Times New Roman" w:hAnsi="Times New Roman" w:cs="Times New Roman"/>
          <w:sz w:val="22"/>
          <w:szCs w:val="22"/>
        </w:rPr>
        <w:t xml:space="preserve">) </w:t>
      </w:r>
      <w:r w:rsidR="0087498D" w:rsidRPr="0087498D">
        <w:rPr>
          <w:rFonts w:ascii="Times New Roman" w:hAnsi="Times New Roman" w:cs="Times New Roman"/>
          <w:sz w:val="22"/>
          <w:szCs w:val="22"/>
        </w:rPr>
        <w:t xml:space="preserve">Un estado resumido de los activos adquiridos con fondos de subvención. Este estado debe presentar </w:t>
      </w:r>
      <w:r w:rsidR="0087498D">
        <w:rPr>
          <w:rFonts w:ascii="Times New Roman" w:hAnsi="Times New Roman" w:cs="Times New Roman"/>
          <w:sz w:val="22"/>
          <w:szCs w:val="22"/>
        </w:rPr>
        <w:t xml:space="preserve"> </w:t>
      </w:r>
      <w:r w:rsidR="0087498D" w:rsidRPr="0087498D">
        <w:rPr>
          <w:rFonts w:ascii="Times New Roman" w:hAnsi="Times New Roman" w:cs="Times New Roman"/>
          <w:sz w:val="22"/>
          <w:szCs w:val="22"/>
        </w:rPr>
        <w:t xml:space="preserve"> </w:t>
      </w:r>
      <w:r w:rsidR="0087498D">
        <w:rPr>
          <w:rFonts w:ascii="Times New Roman" w:hAnsi="Times New Roman" w:cs="Times New Roman"/>
          <w:sz w:val="22"/>
          <w:szCs w:val="22"/>
        </w:rPr>
        <w:t xml:space="preserve">       los </w:t>
      </w:r>
      <w:r w:rsidR="0087498D" w:rsidRPr="0087498D">
        <w:rPr>
          <w:rFonts w:ascii="Times New Roman" w:hAnsi="Times New Roman" w:cs="Times New Roman"/>
          <w:sz w:val="22"/>
          <w:szCs w:val="22"/>
        </w:rPr>
        <w:t>activos que provienen de periodos previos (saldo de apertura) así como las adiciones, enajenaciones y cancelaciones del período auditado y el saldo de cierre</w:t>
      </w:r>
    </w:p>
    <w:p w14:paraId="428B83AA" w14:textId="6609D87E" w:rsidR="0087498D" w:rsidRDefault="0087498D" w:rsidP="00914CD9">
      <w:pPr>
        <w:jc w:val="both"/>
        <w:rPr>
          <w:rFonts w:ascii="Times New Roman" w:hAnsi="Times New Roman" w:cs="Times New Roman"/>
          <w:sz w:val="22"/>
          <w:szCs w:val="22"/>
        </w:rPr>
      </w:pPr>
    </w:p>
    <w:p w14:paraId="22C34140" w14:textId="45051ADB" w:rsidR="0087498D" w:rsidRPr="00077A67" w:rsidRDefault="0087498D" w:rsidP="00914CD9">
      <w:pPr>
        <w:jc w:val="both"/>
        <w:rPr>
          <w:rFonts w:ascii="Times New Roman" w:hAnsi="Times New Roman" w:cs="Times New Roman"/>
          <w:sz w:val="22"/>
          <w:szCs w:val="22"/>
        </w:rPr>
      </w:pPr>
      <w:r>
        <w:rPr>
          <w:rFonts w:ascii="Times New Roman" w:hAnsi="Times New Roman" w:cs="Times New Roman"/>
          <w:sz w:val="22"/>
          <w:szCs w:val="22"/>
        </w:rPr>
        <w:t xml:space="preserve">              </w:t>
      </w:r>
      <w:r w:rsidR="00724D58">
        <w:rPr>
          <w:rFonts w:ascii="Times New Roman" w:hAnsi="Times New Roman" w:cs="Times New Roman"/>
          <w:sz w:val="22"/>
          <w:szCs w:val="22"/>
        </w:rPr>
        <w:t>c</w:t>
      </w:r>
      <w:r>
        <w:rPr>
          <w:rFonts w:ascii="Times New Roman" w:hAnsi="Times New Roman" w:cs="Times New Roman"/>
          <w:sz w:val="22"/>
          <w:szCs w:val="22"/>
        </w:rPr>
        <w:t>)</w:t>
      </w:r>
      <w:r w:rsidRPr="0087498D">
        <w:rPr>
          <w:rFonts w:ascii="Arial" w:hAnsi="Arial" w:cs="Arial"/>
          <w:sz w:val="28"/>
          <w:szCs w:val="28"/>
        </w:rPr>
        <w:t xml:space="preserve"> </w:t>
      </w:r>
      <w:r w:rsidRPr="0087498D">
        <w:rPr>
          <w:rFonts w:ascii="Times New Roman" w:hAnsi="Times New Roman" w:cs="Times New Roman"/>
          <w:sz w:val="22"/>
          <w:szCs w:val="22"/>
        </w:rPr>
        <w:t>Notas a los estados complementarios. Estas notas incluyen información que puede ayudar al usuario a comprender mejor las declaraciones complementarias (supuestos significativos, estimaciones contables y revelaciones relacionadas), así como la información fiscal necesaria</w:t>
      </w:r>
    </w:p>
    <w:p w14:paraId="1F5EC623" w14:textId="30EE115A" w:rsidR="00AB1293" w:rsidRDefault="00AB1293" w:rsidP="00914CD9">
      <w:pPr>
        <w:jc w:val="both"/>
        <w:rPr>
          <w:rFonts w:ascii="Times New Roman" w:hAnsi="Times New Roman" w:cs="Times New Roman"/>
          <w:sz w:val="22"/>
          <w:szCs w:val="22"/>
        </w:rPr>
      </w:pPr>
    </w:p>
    <w:p w14:paraId="36008D98" w14:textId="39037800" w:rsidR="0087498D" w:rsidRDefault="0087498D" w:rsidP="00914CD9">
      <w:pPr>
        <w:jc w:val="both"/>
        <w:rPr>
          <w:rFonts w:ascii="Times New Roman" w:hAnsi="Times New Roman" w:cs="Times New Roman"/>
          <w:b/>
          <w:bCs/>
          <w:sz w:val="22"/>
          <w:szCs w:val="22"/>
        </w:rPr>
      </w:pPr>
      <w:r>
        <w:rPr>
          <w:rFonts w:ascii="Times New Roman" w:hAnsi="Times New Roman" w:cs="Times New Roman"/>
          <w:b/>
          <w:bCs/>
          <w:sz w:val="22"/>
          <w:szCs w:val="22"/>
        </w:rPr>
        <w:t>7</w:t>
      </w:r>
      <w:r w:rsidRPr="00077A67">
        <w:rPr>
          <w:rFonts w:ascii="Times New Roman" w:hAnsi="Times New Roman" w:cs="Times New Roman"/>
          <w:b/>
          <w:bCs/>
          <w:sz w:val="22"/>
          <w:szCs w:val="22"/>
        </w:rPr>
        <w:t xml:space="preserve">. </w:t>
      </w:r>
      <w:r>
        <w:rPr>
          <w:rFonts w:ascii="Times New Roman" w:hAnsi="Times New Roman" w:cs="Times New Roman"/>
          <w:b/>
          <w:bCs/>
          <w:sz w:val="22"/>
          <w:szCs w:val="22"/>
        </w:rPr>
        <w:t>Caso específico de pagos directos a terceros</w:t>
      </w:r>
    </w:p>
    <w:p w14:paraId="551F5D62" w14:textId="6D7D2B9E" w:rsidR="0087498D" w:rsidRDefault="0087498D" w:rsidP="00914CD9">
      <w:pPr>
        <w:jc w:val="both"/>
        <w:rPr>
          <w:rFonts w:ascii="Times New Roman" w:hAnsi="Times New Roman" w:cs="Times New Roman"/>
          <w:b/>
          <w:bCs/>
          <w:sz w:val="22"/>
          <w:szCs w:val="22"/>
        </w:rPr>
      </w:pPr>
    </w:p>
    <w:p w14:paraId="3D0B35D7" w14:textId="3ADC629B" w:rsidR="0087498D" w:rsidRDefault="0087498D" w:rsidP="00914CD9">
      <w:pPr>
        <w:jc w:val="both"/>
        <w:rPr>
          <w:rFonts w:ascii="Times New Roman" w:hAnsi="Times New Roman" w:cs="Times New Roman"/>
          <w:sz w:val="22"/>
          <w:szCs w:val="22"/>
        </w:rPr>
      </w:pPr>
      <w:r>
        <w:rPr>
          <w:rFonts w:ascii="Times New Roman" w:hAnsi="Times New Roman" w:cs="Times New Roman"/>
          <w:sz w:val="22"/>
          <w:szCs w:val="22"/>
        </w:rPr>
        <w:t xml:space="preserve"> </w:t>
      </w:r>
      <w:r w:rsidRPr="0087498D">
        <w:rPr>
          <w:rFonts w:ascii="Times New Roman" w:hAnsi="Times New Roman" w:cs="Times New Roman"/>
          <w:sz w:val="22"/>
          <w:szCs w:val="22"/>
        </w:rPr>
        <w:t>A su</w:t>
      </w:r>
      <w:r>
        <w:rPr>
          <w:rFonts w:ascii="Times New Roman" w:hAnsi="Times New Roman" w:cs="Times New Roman"/>
          <w:sz w:val="22"/>
          <w:szCs w:val="22"/>
        </w:rPr>
        <w:t xml:space="preserve"> </w:t>
      </w:r>
      <w:r w:rsidRPr="0087498D">
        <w:rPr>
          <w:rFonts w:ascii="Times New Roman" w:hAnsi="Times New Roman" w:cs="Times New Roman"/>
          <w:sz w:val="22"/>
          <w:szCs w:val="22"/>
        </w:rPr>
        <w:t>propia discreción, el Fondo Mundial puede decidir contratar directamente a terceros, entre otros,</w:t>
      </w:r>
      <w:r w:rsidR="008F1ABC">
        <w:rPr>
          <w:rFonts w:ascii="Times New Roman" w:hAnsi="Times New Roman" w:cs="Times New Roman"/>
          <w:sz w:val="22"/>
          <w:szCs w:val="22"/>
        </w:rPr>
        <w:t xml:space="preserve"> </w:t>
      </w:r>
      <w:r w:rsidRPr="0087498D">
        <w:rPr>
          <w:rFonts w:ascii="Times New Roman" w:hAnsi="Times New Roman" w:cs="Times New Roman"/>
          <w:sz w:val="22"/>
          <w:szCs w:val="22"/>
        </w:rPr>
        <w:t>agentes fiscales, agentes fiduciarios y auditores. De igual forma, el Receptor Principal puede optar por utilizar el Mecanismo de Adquisiciones Conjuntas, a través del cual el equipo de aprovisionamiento del Fondo Mundial adquiere productos para el Receptor Principal</w:t>
      </w:r>
      <w:r>
        <w:rPr>
          <w:rFonts w:ascii="Times New Roman" w:hAnsi="Times New Roman" w:cs="Times New Roman"/>
          <w:sz w:val="22"/>
          <w:szCs w:val="22"/>
        </w:rPr>
        <w:t>.</w:t>
      </w:r>
    </w:p>
    <w:p w14:paraId="05218A06" w14:textId="77777777" w:rsidR="0087498D" w:rsidRDefault="0087498D" w:rsidP="00914CD9">
      <w:pPr>
        <w:jc w:val="both"/>
        <w:rPr>
          <w:rFonts w:ascii="Times New Roman" w:hAnsi="Times New Roman" w:cs="Times New Roman"/>
          <w:sz w:val="22"/>
          <w:szCs w:val="22"/>
        </w:rPr>
      </w:pPr>
      <w:r w:rsidRPr="0087498D">
        <w:rPr>
          <w:rFonts w:ascii="Times New Roman" w:hAnsi="Times New Roman" w:cs="Times New Roman"/>
          <w:sz w:val="22"/>
          <w:szCs w:val="22"/>
        </w:rPr>
        <w:t xml:space="preserve">En ambos casos, el Fondo Mundial realizará pagos directos a estas organizaciones. En el caso de los estados financieros de propósito especial dela subvención, el Fondo Mundial solicitará a los receptores principales que </w:t>
      </w:r>
      <w:r w:rsidRPr="0087498D">
        <w:rPr>
          <w:rFonts w:ascii="Times New Roman" w:hAnsi="Times New Roman" w:cs="Times New Roman"/>
          <w:sz w:val="22"/>
          <w:szCs w:val="22"/>
        </w:rPr>
        <w:lastRenderedPageBreak/>
        <w:t>incluyan en los mismos los desembolsos realizados y los gastos relacionados. Los gastos reales deben contabilizarse teniendo en cuenta las facturas finales.</w:t>
      </w:r>
    </w:p>
    <w:p w14:paraId="75FF3E49" w14:textId="5443D66F" w:rsidR="0087498D" w:rsidRPr="0087498D" w:rsidRDefault="0087498D" w:rsidP="00914CD9">
      <w:pPr>
        <w:jc w:val="both"/>
        <w:rPr>
          <w:rFonts w:ascii="Times New Roman" w:hAnsi="Times New Roman" w:cs="Times New Roman"/>
          <w:sz w:val="22"/>
          <w:szCs w:val="22"/>
        </w:rPr>
      </w:pPr>
      <w:r w:rsidRPr="0087498D">
        <w:rPr>
          <w:rFonts w:ascii="Times New Roman" w:hAnsi="Times New Roman" w:cs="Times New Roman"/>
          <w:sz w:val="22"/>
          <w:szCs w:val="22"/>
        </w:rPr>
        <w:t>El auditor se pondrá en contacto con el Equipo de País del Fondo Mundial que corresponda de cara a confirmar los montos y el estado de entrega de bienes de servicios.</w:t>
      </w:r>
    </w:p>
    <w:p w14:paraId="381C7C91" w14:textId="7090DC1D" w:rsidR="0087498D" w:rsidRDefault="0087498D" w:rsidP="00914CD9">
      <w:pPr>
        <w:jc w:val="both"/>
        <w:rPr>
          <w:rFonts w:ascii="Times New Roman" w:hAnsi="Times New Roman" w:cs="Times New Roman"/>
          <w:sz w:val="22"/>
          <w:szCs w:val="22"/>
        </w:rPr>
      </w:pPr>
    </w:p>
    <w:p w14:paraId="00594770" w14:textId="77777777" w:rsidR="0087498D" w:rsidRPr="00077A67" w:rsidRDefault="0087498D" w:rsidP="00914CD9">
      <w:pPr>
        <w:jc w:val="both"/>
        <w:rPr>
          <w:rFonts w:ascii="Times New Roman" w:hAnsi="Times New Roman" w:cs="Times New Roman"/>
          <w:sz w:val="22"/>
          <w:szCs w:val="22"/>
        </w:rPr>
      </w:pPr>
    </w:p>
    <w:p w14:paraId="11E3E058" w14:textId="02DEF001" w:rsidR="00AB1293" w:rsidRPr="00077A67" w:rsidRDefault="0087498D" w:rsidP="00914CD9">
      <w:pPr>
        <w:jc w:val="both"/>
        <w:rPr>
          <w:rFonts w:ascii="Times New Roman" w:hAnsi="Times New Roman" w:cs="Times New Roman"/>
          <w:b/>
          <w:bCs/>
          <w:sz w:val="22"/>
          <w:szCs w:val="22"/>
        </w:rPr>
      </w:pPr>
      <w:r>
        <w:rPr>
          <w:rFonts w:ascii="Times New Roman" w:hAnsi="Times New Roman" w:cs="Times New Roman"/>
          <w:b/>
          <w:bCs/>
          <w:sz w:val="22"/>
          <w:szCs w:val="22"/>
        </w:rPr>
        <w:t>8</w:t>
      </w:r>
      <w:r w:rsidR="00511DD4" w:rsidRPr="00077A67">
        <w:rPr>
          <w:rFonts w:ascii="Times New Roman" w:hAnsi="Times New Roman" w:cs="Times New Roman"/>
          <w:b/>
          <w:bCs/>
          <w:sz w:val="22"/>
          <w:szCs w:val="22"/>
        </w:rPr>
        <w:t>. Alcance del trabajo de auditoría</w:t>
      </w:r>
    </w:p>
    <w:p w14:paraId="6E224936" w14:textId="77777777" w:rsidR="00AB1293" w:rsidRPr="00077A67" w:rsidRDefault="00AB1293" w:rsidP="00914CD9">
      <w:pPr>
        <w:jc w:val="both"/>
        <w:rPr>
          <w:rFonts w:ascii="Times New Roman" w:hAnsi="Times New Roman" w:cs="Times New Roman"/>
          <w:sz w:val="22"/>
          <w:szCs w:val="22"/>
        </w:rPr>
      </w:pPr>
    </w:p>
    <w:p w14:paraId="51C28509" w14:textId="040C1603" w:rsidR="00AB1293" w:rsidRDefault="0087498D" w:rsidP="00914CD9">
      <w:pPr>
        <w:jc w:val="both"/>
        <w:rPr>
          <w:rFonts w:ascii="Times New Roman" w:hAnsi="Times New Roman" w:cs="Times New Roman"/>
          <w:sz w:val="22"/>
          <w:szCs w:val="22"/>
        </w:rPr>
      </w:pPr>
      <w:r>
        <w:rPr>
          <w:rFonts w:ascii="Times New Roman" w:hAnsi="Times New Roman" w:cs="Times New Roman"/>
          <w:sz w:val="22"/>
          <w:szCs w:val="22"/>
        </w:rPr>
        <w:t>8</w:t>
      </w:r>
      <w:r w:rsidR="00511DD4" w:rsidRPr="00077A67">
        <w:rPr>
          <w:rFonts w:ascii="Times New Roman" w:hAnsi="Times New Roman" w:cs="Times New Roman"/>
          <w:sz w:val="22"/>
          <w:szCs w:val="22"/>
        </w:rPr>
        <w:t xml:space="preserve">.1. </w:t>
      </w:r>
      <w:r w:rsidR="008F1ABC" w:rsidRPr="008F1ABC">
        <w:rPr>
          <w:rFonts w:ascii="Times New Roman" w:hAnsi="Times New Roman" w:cs="Times New Roman"/>
          <w:sz w:val="22"/>
          <w:szCs w:val="22"/>
        </w:rPr>
        <w:t>Las auditorías que se describen en estas directrices deben realizarse de conformidad con las Normas Internacionales de Auditoría (ISA) o, en el caso de los auditores gubernamentales, las Normas Internacionales de las Instituciones de Auditoría Superior</w:t>
      </w:r>
      <w:r w:rsidR="008F1ABC">
        <w:rPr>
          <w:rFonts w:ascii="Times New Roman" w:hAnsi="Times New Roman" w:cs="Times New Roman"/>
          <w:sz w:val="22"/>
          <w:szCs w:val="22"/>
        </w:rPr>
        <w:t xml:space="preserve"> (ISSAI)</w:t>
      </w:r>
      <w:r w:rsidR="001713E0">
        <w:rPr>
          <w:rFonts w:ascii="Times New Roman" w:hAnsi="Times New Roman" w:cs="Times New Roman"/>
          <w:sz w:val="22"/>
          <w:szCs w:val="22"/>
        </w:rPr>
        <w:t xml:space="preserve"> e incluirá las pruebas y controles que el auditor considere necesarios dadas las circunstancias.</w:t>
      </w:r>
    </w:p>
    <w:p w14:paraId="72C353F2" w14:textId="77777777" w:rsidR="008F1ABC" w:rsidRDefault="008F1ABC" w:rsidP="00914CD9">
      <w:pPr>
        <w:jc w:val="both"/>
        <w:rPr>
          <w:rFonts w:ascii="Times New Roman" w:hAnsi="Times New Roman" w:cs="Times New Roman"/>
          <w:sz w:val="22"/>
          <w:szCs w:val="22"/>
        </w:rPr>
      </w:pPr>
    </w:p>
    <w:p w14:paraId="2FDF1A62" w14:textId="0B26D5F9" w:rsidR="008F1ABC" w:rsidRDefault="008F1ABC" w:rsidP="00914CD9">
      <w:pPr>
        <w:jc w:val="both"/>
        <w:rPr>
          <w:rFonts w:ascii="Times New Roman" w:hAnsi="Times New Roman" w:cs="Times New Roman"/>
          <w:sz w:val="22"/>
          <w:szCs w:val="22"/>
        </w:rPr>
      </w:pPr>
      <w:r>
        <w:rPr>
          <w:rFonts w:ascii="Times New Roman" w:hAnsi="Times New Roman" w:cs="Times New Roman"/>
          <w:sz w:val="22"/>
          <w:szCs w:val="22"/>
        </w:rPr>
        <w:t>8.2 En concreto:</w:t>
      </w:r>
    </w:p>
    <w:p w14:paraId="6BEB59D7" w14:textId="2864ABAA" w:rsidR="008F1ABC" w:rsidRPr="008F1ABC" w:rsidRDefault="008F1ABC" w:rsidP="00914CD9">
      <w:pPr>
        <w:pStyle w:val="Prrafodelista"/>
        <w:numPr>
          <w:ilvl w:val="0"/>
          <w:numId w:val="19"/>
        </w:numPr>
        <w:jc w:val="both"/>
        <w:rPr>
          <w:rFonts w:ascii="Times New Roman" w:hAnsi="Times New Roman" w:cs="Times New Roman"/>
        </w:rPr>
      </w:pPr>
      <w:r w:rsidRPr="008F1ABC">
        <w:rPr>
          <w:rFonts w:ascii="Times New Roman" w:hAnsi="Times New Roman" w:cs="Times New Roman"/>
        </w:rPr>
        <w:t>La auditoría financiera debe realizarse de conformidad con las Normas Internacionales de Auditoría (ISA), específicamente,</w:t>
      </w:r>
      <w:r>
        <w:rPr>
          <w:rFonts w:ascii="Times New Roman" w:hAnsi="Times New Roman" w:cs="Times New Roman"/>
        </w:rPr>
        <w:t xml:space="preserve"> </w:t>
      </w:r>
      <w:r w:rsidRPr="008F1ABC">
        <w:rPr>
          <w:rFonts w:ascii="Times New Roman" w:hAnsi="Times New Roman" w:cs="Times New Roman"/>
        </w:rPr>
        <w:t>ISA 800 Auditorías de estados financieros preparados de conformidad con un marco de información con fines específicos</w:t>
      </w:r>
      <w:r>
        <w:rPr>
          <w:rFonts w:ascii="Times New Roman" w:hAnsi="Times New Roman" w:cs="Times New Roman"/>
        </w:rPr>
        <w:t xml:space="preserve"> </w:t>
      </w:r>
      <w:r w:rsidRPr="008F1ABC">
        <w:rPr>
          <w:rFonts w:ascii="Times New Roman" w:hAnsi="Times New Roman" w:cs="Times New Roman"/>
        </w:rPr>
        <w:t>y la norma correspondiente para entidades públicas auditadas o las Normas Internacionales de las Instituciones de Auditoría Superior(ISSAI).También se recomienda que los auditores sigan las normas locales que se emitieron como complemento a ISA 800.Asimismo, se debe observar la presentación de informes sobre los compromisos de financiamiento de los donantes</w:t>
      </w:r>
    </w:p>
    <w:p w14:paraId="6D9F9327" w14:textId="77777777" w:rsidR="008F1ABC" w:rsidRDefault="008F1ABC" w:rsidP="00914CD9">
      <w:pPr>
        <w:jc w:val="both"/>
        <w:rPr>
          <w:rFonts w:ascii="Times New Roman" w:hAnsi="Times New Roman" w:cs="Times New Roman"/>
          <w:sz w:val="22"/>
          <w:szCs w:val="22"/>
          <w:lang w:val="es-MX"/>
        </w:rPr>
      </w:pPr>
    </w:p>
    <w:p w14:paraId="2E769C50" w14:textId="2693A33B" w:rsidR="00AB1293" w:rsidRPr="00077A67" w:rsidRDefault="008F1ABC" w:rsidP="00914CD9">
      <w:pPr>
        <w:jc w:val="both"/>
        <w:rPr>
          <w:rFonts w:ascii="Times New Roman" w:hAnsi="Times New Roman" w:cs="Times New Roman"/>
          <w:sz w:val="22"/>
          <w:szCs w:val="22"/>
        </w:rPr>
      </w:pPr>
      <w:r>
        <w:rPr>
          <w:rFonts w:ascii="Times New Roman" w:hAnsi="Times New Roman" w:cs="Times New Roman"/>
          <w:sz w:val="22"/>
          <w:szCs w:val="22"/>
        </w:rPr>
        <w:t>8</w:t>
      </w:r>
      <w:r w:rsidR="00511DD4" w:rsidRPr="00077A67">
        <w:rPr>
          <w:rFonts w:ascii="Times New Roman" w:hAnsi="Times New Roman" w:cs="Times New Roman"/>
          <w:sz w:val="22"/>
          <w:szCs w:val="22"/>
        </w:rPr>
        <w:t>.</w:t>
      </w:r>
      <w:r w:rsidR="00EB3017">
        <w:rPr>
          <w:rFonts w:ascii="Times New Roman" w:hAnsi="Times New Roman" w:cs="Times New Roman"/>
          <w:sz w:val="22"/>
          <w:szCs w:val="22"/>
        </w:rPr>
        <w:t>3</w:t>
      </w:r>
      <w:r w:rsidR="00511DD4" w:rsidRPr="00077A67">
        <w:rPr>
          <w:rFonts w:ascii="Times New Roman" w:hAnsi="Times New Roman" w:cs="Times New Roman"/>
          <w:sz w:val="22"/>
          <w:szCs w:val="22"/>
        </w:rPr>
        <w:t>. Como parte de los procedimientos de pruebas de auditoría, se debe prestar especial atención a las siguientes áreas:</w:t>
      </w:r>
    </w:p>
    <w:p w14:paraId="10268D8C" w14:textId="77777777" w:rsidR="00AB1293" w:rsidRPr="00077A67"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i. Cumplimiento de la legislación vigente. Verificar que todas las transacciones cumplen en todos los aspectos con la legislación aplicable.</w:t>
      </w:r>
    </w:p>
    <w:p w14:paraId="3210E1A4" w14:textId="28BCA396" w:rsidR="00AB1293" w:rsidRDefault="00AB1293" w:rsidP="00914CD9">
      <w:pPr>
        <w:jc w:val="both"/>
        <w:rPr>
          <w:rFonts w:ascii="Times New Roman" w:hAnsi="Times New Roman" w:cs="Times New Roman"/>
          <w:sz w:val="22"/>
          <w:szCs w:val="22"/>
        </w:rPr>
      </w:pPr>
    </w:p>
    <w:p w14:paraId="0B126184" w14:textId="5BE0D01C" w:rsidR="00670141" w:rsidRDefault="006B634E" w:rsidP="00670141">
      <w:pPr>
        <w:ind w:left="720"/>
        <w:jc w:val="both"/>
        <w:rPr>
          <w:rFonts w:ascii="Times New Roman" w:hAnsi="Times New Roman" w:cs="Times New Roman"/>
          <w:sz w:val="22"/>
          <w:szCs w:val="22"/>
        </w:rPr>
      </w:pPr>
      <w:r>
        <w:rPr>
          <w:rFonts w:ascii="Times New Roman" w:hAnsi="Times New Roman" w:cs="Times New Roman"/>
          <w:sz w:val="22"/>
          <w:szCs w:val="22"/>
        </w:rPr>
        <w:t>ii.</w:t>
      </w:r>
      <w:r w:rsidR="00670141">
        <w:rPr>
          <w:rFonts w:ascii="Times New Roman" w:hAnsi="Times New Roman" w:cs="Times New Roman"/>
          <w:sz w:val="22"/>
          <w:szCs w:val="22"/>
        </w:rPr>
        <w:t xml:space="preserve"> </w:t>
      </w:r>
      <w:r>
        <w:rPr>
          <w:rFonts w:ascii="Times New Roman" w:hAnsi="Times New Roman" w:cs="Times New Roman"/>
          <w:sz w:val="22"/>
          <w:szCs w:val="22"/>
        </w:rPr>
        <w:t xml:space="preserve">Conciliación del libro mayor general con </w:t>
      </w:r>
      <w:r w:rsidR="00670141">
        <w:rPr>
          <w:rFonts w:ascii="Times New Roman" w:hAnsi="Times New Roman" w:cs="Times New Roman"/>
          <w:sz w:val="22"/>
          <w:szCs w:val="22"/>
        </w:rPr>
        <w:t xml:space="preserve">los EFSFE; revisión del libro mayor general y del programa                                                     para determinar si los costos incurridos se registraron adecuadamente, asegurando que los costos </w:t>
      </w:r>
    </w:p>
    <w:p w14:paraId="67DC881B" w14:textId="6F312666" w:rsidR="001713E0" w:rsidRPr="00077A67" w:rsidRDefault="00670141" w:rsidP="00670141">
      <w:pPr>
        <w:ind w:left="720"/>
        <w:jc w:val="both"/>
        <w:rPr>
          <w:rFonts w:ascii="Times New Roman" w:hAnsi="Times New Roman" w:cs="Times New Roman"/>
          <w:sz w:val="22"/>
          <w:szCs w:val="22"/>
        </w:rPr>
      </w:pPr>
      <w:r>
        <w:rPr>
          <w:rFonts w:ascii="Times New Roman" w:hAnsi="Times New Roman" w:cs="Times New Roman"/>
          <w:sz w:val="22"/>
          <w:szCs w:val="22"/>
        </w:rPr>
        <w:t>cargados a la subvención se concilien con el programa y el libro mayor general. Conciliación de los EFSFE   con los registros subyacentes, principalmente el libro de caja.</w:t>
      </w:r>
    </w:p>
    <w:p w14:paraId="139B7B52" w14:textId="77777777" w:rsidR="00724D58" w:rsidRDefault="00724D58" w:rsidP="00670141">
      <w:pPr>
        <w:ind w:left="737"/>
        <w:jc w:val="both"/>
        <w:rPr>
          <w:rFonts w:ascii="Times New Roman" w:hAnsi="Times New Roman" w:cs="Times New Roman"/>
          <w:sz w:val="22"/>
          <w:szCs w:val="22"/>
        </w:rPr>
      </w:pPr>
    </w:p>
    <w:p w14:paraId="4CAD29BE" w14:textId="17F7AC58" w:rsidR="00AB1293" w:rsidRDefault="00511DD4" w:rsidP="00670141">
      <w:pPr>
        <w:ind w:left="737"/>
        <w:jc w:val="both"/>
        <w:rPr>
          <w:rFonts w:ascii="Times New Roman" w:hAnsi="Times New Roman" w:cs="Times New Roman"/>
          <w:sz w:val="22"/>
          <w:szCs w:val="22"/>
        </w:rPr>
      </w:pPr>
      <w:r w:rsidRPr="00077A67">
        <w:rPr>
          <w:rFonts w:ascii="Times New Roman" w:hAnsi="Times New Roman" w:cs="Times New Roman"/>
          <w:sz w:val="22"/>
          <w:szCs w:val="22"/>
        </w:rPr>
        <w:t>ii</w:t>
      </w:r>
      <w:r w:rsidR="00670141">
        <w:rPr>
          <w:rFonts w:ascii="Times New Roman" w:hAnsi="Times New Roman" w:cs="Times New Roman"/>
          <w:sz w:val="22"/>
          <w:szCs w:val="22"/>
        </w:rPr>
        <w:t>i</w:t>
      </w:r>
      <w:r w:rsidRPr="00077A67">
        <w:rPr>
          <w:rFonts w:ascii="Times New Roman" w:hAnsi="Times New Roman" w:cs="Times New Roman"/>
          <w:sz w:val="22"/>
          <w:szCs w:val="22"/>
        </w:rPr>
        <w:t>. Gastos de subvención. Los fondos recibidos por el programa</w:t>
      </w:r>
      <w:r w:rsidRPr="00077A67">
        <w:rPr>
          <w:rStyle w:val="Ancladenotaalpie"/>
          <w:rFonts w:ascii="Times New Roman" w:hAnsi="Times New Roman" w:cs="Times New Roman"/>
          <w:sz w:val="22"/>
          <w:szCs w:val="22"/>
        </w:rPr>
        <w:footnoteReference w:id="1"/>
      </w:r>
      <w:r w:rsidRPr="00077A67">
        <w:rPr>
          <w:rFonts w:ascii="Times New Roman" w:hAnsi="Times New Roman" w:cs="Times New Roman"/>
          <w:sz w:val="22"/>
          <w:szCs w:val="22"/>
        </w:rPr>
        <w:t xml:space="preserve"> a partir de desembolsos, o generados por el financiamiento del programa</w:t>
      </w:r>
      <w:r w:rsidRPr="00077A67">
        <w:rPr>
          <w:rStyle w:val="Ancladenotaalpie"/>
          <w:rFonts w:ascii="Times New Roman" w:hAnsi="Times New Roman" w:cs="Times New Roman"/>
          <w:sz w:val="22"/>
          <w:szCs w:val="22"/>
        </w:rPr>
        <w:footnoteReference w:id="2"/>
      </w:r>
      <w:r w:rsidRPr="00077A67">
        <w:rPr>
          <w:rFonts w:ascii="Times New Roman" w:hAnsi="Times New Roman" w:cs="Times New Roman"/>
          <w:sz w:val="22"/>
          <w:szCs w:val="22"/>
        </w:rPr>
        <w:t>, se emplearon con arreglo al presupuesto y el plan de trabajo aprobados vigentes en el momento en que se incurrió en dicho gasto, y de conformidad con las disposiciones del acuerdo de subvención, incluida cualquier condición de subvención aplicable (según fuera modificada por cualquier carta de ejecución), y solo para los fines para los que se facilitaron los fondos.</w:t>
      </w:r>
      <w:r w:rsidR="00670141">
        <w:rPr>
          <w:rFonts w:ascii="Times New Roman" w:hAnsi="Times New Roman" w:cs="Times New Roman"/>
          <w:sz w:val="22"/>
          <w:szCs w:val="22"/>
        </w:rPr>
        <w:t xml:space="preserve"> El auditor también debe prestar atención a los costos compartidos, especialmente en el mecanismo de asignación, y revisar estos costos para verificar su exactitud, integridad y razonabilidad.</w:t>
      </w:r>
    </w:p>
    <w:p w14:paraId="7FF9023A" w14:textId="77777777" w:rsidR="00724D58" w:rsidRDefault="00724D58" w:rsidP="00670141">
      <w:pPr>
        <w:ind w:left="737"/>
        <w:jc w:val="both"/>
        <w:rPr>
          <w:rFonts w:ascii="Times New Roman" w:hAnsi="Times New Roman" w:cs="Times New Roman"/>
          <w:sz w:val="22"/>
          <w:szCs w:val="22"/>
        </w:rPr>
      </w:pPr>
    </w:p>
    <w:p w14:paraId="2797D041" w14:textId="2F98476E" w:rsidR="00670141" w:rsidRPr="00077A67" w:rsidRDefault="00670141" w:rsidP="00670141">
      <w:pPr>
        <w:ind w:left="737"/>
        <w:jc w:val="both"/>
        <w:rPr>
          <w:rFonts w:ascii="Times New Roman" w:hAnsi="Times New Roman" w:cs="Times New Roman"/>
          <w:sz w:val="22"/>
          <w:szCs w:val="22"/>
        </w:rPr>
      </w:pPr>
      <w:r>
        <w:rPr>
          <w:rFonts w:ascii="Times New Roman" w:hAnsi="Times New Roman" w:cs="Times New Roman"/>
          <w:sz w:val="22"/>
          <w:szCs w:val="22"/>
        </w:rPr>
        <w:t>iv. Costos elegibles: R</w:t>
      </w:r>
      <w:r w:rsidR="004011A2">
        <w:rPr>
          <w:rFonts w:ascii="Times New Roman" w:hAnsi="Times New Roman" w:cs="Times New Roman"/>
          <w:sz w:val="22"/>
          <w:szCs w:val="22"/>
        </w:rPr>
        <w:t>evisió</w:t>
      </w:r>
      <w:r>
        <w:rPr>
          <w:rFonts w:ascii="Times New Roman" w:hAnsi="Times New Roman" w:cs="Times New Roman"/>
          <w:sz w:val="22"/>
          <w:szCs w:val="22"/>
        </w:rPr>
        <w:t>n de los costos cargados a la subvención identificando y cuantificando los costos no elegibles, así como acordar los gastos de los documentos justificativos sobre una base de muestra.</w:t>
      </w:r>
      <w:r w:rsidR="004011A2">
        <w:rPr>
          <w:rFonts w:ascii="Times New Roman" w:hAnsi="Times New Roman" w:cs="Times New Roman"/>
          <w:sz w:val="22"/>
          <w:szCs w:val="22"/>
        </w:rPr>
        <w:t xml:space="preserve"> Comparar el gasto reales con el presupuesto y obtenga explicaciones de las variaciones obtenidas(las variaciones presupuestarias no aprobadas deben incluirse en el programa de gastos no elegibles)</w:t>
      </w:r>
    </w:p>
    <w:p w14:paraId="2A273DB5" w14:textId="77777777" w:rsidR="00AB1293" w:rsidRPr="00077A67" w:rsidRDefault="00AB1293" w:rsidP="00670141">
      <w:pPr>
        <w:jc w:val="both"/>
        <w:rPr>
          <w:rFonts w:ascii="Times New Roman" w:hAnsi="Times New Roman" w:cs="Times New Roman"/>
          <w:sz w:val="22"/>
          <w:szCs w:val="22"/>
        </w:rPr>
      </w:pPr>
    </w:p>
    <w:p w14:paraId="3E7720DF" w14:textId="7C72A552" w:rsidR="00AB1293" w:rsidRPr="00077A67" w:rsidRDefault="004011A2" w:rsidP="00914CD9">
      <w:pPr>
        <w:ind w:left="737"/>
        <w:jc w:val="both"/>
        <w:rPr>
          <w:rFonts w:ascii="Times New Roman" w:hAnsi="Times New Roman" w:cs="Times New Roman"/>
          <w:sz w:val="22"/>
          <w:szCs w:val="22"/>
        </w:rPr>
      </w:pPr>
      <w:r>
        <w:rPr>
          <w:rFonts w:ascii="Times New Roman" w:hAnsi="Times New Roman" w:cs="Times New Roman"/>
          <w:sz w:val="22"/>
          <w:szCs w:val="22"/>
        </w:rPr>
        <w:t>v</w:t>
      </w:r>
      <w:r w:rsidR="00511DD4" w:rsidRPr="00077A67">
        <w:rPr>
          <w:rFonts w:ascii="Times New Roman" w:hAnsi="Times New Roman" w:cs="Times New Roman"/>
          <w:sz w:val="22"/>
          <w:szCs w:val="22"/>
        </w:rPr>
        <w:t>. Sistemas de control</w:t>
      </w:r>
      <w:r>
        <w:rPr>
          <w:rFonts w:ascii="Times New Roman" w:hAnsi="Times New Roman" w:cs="Times New Roman"/>
          <w:sz w:val="22"/>
          <w:szCs w:val="22"/>
        </w:rPr>
        <w:t>es</w:t>
      </w:r>
      <w:r w:rsidR="00511DD4" w:rsidRPr="00077A67">
        <w:rPr>
          <w:rFonts w:ascii="Times New Roman" w:hAnsi="Times New Roman" w:cs="Times New Roman"/>
          <w:sz w:val="22"/>
          <w:szCs w:val="22"/>
        </w:rPr>
        <w:t xml:space="preserve"> interno</w:t>
      </w:r>
      <w:r>
        <w:rPr>
          <w:rFonts w:ascii="Times New Roman" w:hAnsi="Times New Roman" w:cs="Times New Roman"/>
          <w:sz w:val="22"/>
          <w:szCs w:val="22"/>
        </w:rPr>
        <w:t>s</w:t>
      </w:r>
      <w:r w:rsidR="00BC78D8">
        <w:rPr>
          <w:rFonts w:ascii="Times New Roman" w:hAnsi="Times New Roman" w:cs="Times New Roman"/>
          <w:sz w:val="22"/>
          <w:szCs w:val="22"/>
        </w:rPr>
        <w:t xml:space="preserve"> evaluar los controle sinternos del Receptor principal y de Subreceptores con base al marco COSO. Se solicitará al auditor que identifique los controles clave del programa (niveles </w:t>
      </w:r>
      <w:r w:rsidR="00BC78D8">
        <w:rPr>
          <w:rFonts w:ascii="Times New Roman" w:hAnsi="Times New Roman" w:cs="Times New Roman"/>
          <w:sz w:val="22"/>
          <w:szCs w:val="22"/>
        </w:rPr>
        <w:lastRenderedPageBreak/>
        <w:t>de entidad, proceso y transacción) para cada uno de los principales procesos operativos y que los pruebe para determinar su efectividad (diseño y operación). Con base en el riesgo, el auditor debe revisar el marco de control interno (controles financieros y no financieros) del Receptor Principal y de los subreceptores calve identificados por el equipo de país del Fondo Mundial en consulta con el Receptor Principal. Si un proceso importante se subcontrata o no se confía en un tercero, la auditoría también debe incluir a dicho tercero en el alcance de la revisión. Para los países enfocados, el auditor debería limitar su evaluación a los controles financieros del Receptor principal/Subreceptores.  También se debe prestar especial atención a los controles con respecto al riesgo de fraude en el Receptor Principal/Subreceptores.</w:t>
      </w:r>
    </w:p>
    <w:p w14:paraId="7B34D5DD" w14:textId="77777777" w:rsidR="00AB1293" w:rsidRPr="00077A67" w:rsidRDefault="00AB1293" w:rsidP="00914CD9">
      <w:pPr>
        <w:ind w:left="737"/>
        <w:jc w:val="both"/>
        <w:rPr>
          <w:rFonts w:ascii="Times New Roman" w:hAnsi="Times New Roman" w:cs="Times New Roman"/>
          <w:sz w:val="22"/>
          <w:szCs w:val="22"/>
        </w:rPr>
      </w:pPr>
    </w:p>
    <w:p w14:paraId="34FD6ABC" w14:textId="15E5405A" w:rsidR="00AB1293" w:rsidRPr="00077A67"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v</w:t>
      </w:r>
      <w:r w:rsidR="000B0BF5">
        <w:rPr>
          <w:rFonts w:ascii="Times New Roman" w:hAnsi="Times New Roman" w:cs="Times New Roman"/>
          <w:sz w:val="22"/>
          <w:szCs w:val="22"/>
        </w:rPr>
        <w:t>i. Seguimiento del estado de los hallazgos</w:t>
      </w:r>
      <w:r w:rsidRPr="00077A67">
        <w:rPr>
          <w:rFonts w:ascii="Times New Roman" w:hAnsi="Times New Roman" w:cs="Times New Roman"/>
          <w:sz w:val="22"/>
          <w:szCs w:val="22"/>
        </w:rPr>
        <w:t xml:space="preserve"> de informes de auditoría previos. El auditor debe realizar un seguimiento de las medidas de gestión previstas para abordar l</w:t>
      </w:r>
      <w:r w:rsidR="000B0BF5">
        <w:rPr>
          <w:rFonts w:ascii="Times New Roman" w:hAnsi="Times New Roman" w:cs="Times New Roman"/>
          <w:sz w:val="22"/>
          <w:szCs w:val="22"/>
        </w:rPr>
        <w:t>o</w:t>
      </w:r>
      <w:r w:rsidRPr="00077A67">
        <w:rPr>
          <w:rFonts w:ascii="Times New Roman" w:hAnsi="Times New Roman" w:cs="Times New Roman"/>
          <w:sz w:val="22"/>
          <w:szCs w:val="22"/>
        </w:rPr>
        <w:t xml:space="preserve">s </w:t>
      </w:r>
      <w:r w:rsidR="000B0BF5">
        <w:rPr>
          <w:rFonts w:ascii="Times New Roman" w:hAnsi="Times New Roman" w:cs="Times New Roman"/>
          <w:sz w:val="22"/>
          <w:szCs w:val="22"/>
        </w:rPr>
        <w:t>hallazgos</w:t>
      </w:r>
      <w:r w:rsidRPr="00077A67">
        <w:rPr>
          <w:rFonts w:ascii="Times New Roman" w:hAnsi="Times New Roman" w:cs="Times New Roman"/>
          <w:sz w:val="22"/>
          <w:szCs w:val="22"/>
        </w:rPr>
        <w:t xml:space="preserve"> de auditorías previas, incluidas auditorías externas, auditorías internas pertinentes y auditorías encargadas por la Oficina del Inspector General (OIG) del Fondo Mundial.</w:t>
      </w:r>
    </w:p>
    <w:p w14:paraId="78F4740D" w14:textId="77777777" w:rsidR="00AB1293" w:rsidRPr="00077A67" w:rsidRDefault="00AB1293" w:rsidP="00914CD9">
      <w:pPr>
        <w:ind w:left="737"/>
        <w:jc w:val="both"/>
        <w:rPr>
          <w:rFonts w:ascii="Times New Roman" w:hAnsi="Times New Roman" w:cs="Times New Roman"/>
          <w:sz w:val="22"/>
          <w:szCs w:val="22"/>
        </w:rPr>
      </w:pPr>
    </w:p>
    <w:p w14:paraId="55151B0C" w14:textId="2DE306DA" w:rsidR="00AB1293"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v</w:t>
      </w:r>
      <w:r w:rsidR="000B0BF5">
        <w:rPr>
          <w:rFonts w:ascii="Times New Roman" w:hAnsi="Times New Roman" w:cs="Times New Roman"/>
          <w:sz w:val="22"/>
          <w:szCs w:val="22"/>
        </w:rPr>
        <w:t>ii</w:t>
      </w:r>
      <w:r w:rsidRPr="00077A67">
        <w:rPr>
          <w:rFonts w:ascii="Times New Roman" w:hAnsi="Times New Roman" w:cs="Times New Roman"/>
          <w:sz w:val="22"/>
          <w:szCs w:val="22"/>
        </w:rPr>
        <w:t>. Cuentas bancarias designadas. Cuando el Receptor Principal y los subreceptores han utilizado cuentas designadas (incluidas aquellas empleadas en un mecanismo de ejecución de programas de financiamiento común aprobado), estas se han mantenido y utilizado con arreglo a las disposiciones del acuerdo de subvención y a las normas y procedimientos del Fondo Mundial.</w:t>
      </w:r>
    </w:p>
    <w:p w14:paraId="798A9270" w14:textId="67BB6169" w:rsidR="000B0BF5" w:rsidRDefault="000B0BF5" w:rsidP="00914CD9">
      <w:pPr>
        <w:ind w:left="737"/>
        <w:jc w:val="both"/>
        <w:rPr>
          <w:rFonts w:ascii="Times New Roman" w:hAnsi="Times New Roman" w:cs="Times New Roman"/>
          <w:sz w:val="22"/>
          <w:szCs w:val="22"/>
        </w:rPr>
      </w:pPr>
    </w:p>
    <w:p w14:paraId="638E4869" w14:textId="62A2801B" w:rsidR="000B0BF5" w:rsidRPr="000B0BF5" w:rsidRDefault="000B0BF5" w:rsidP="000B0BF5">
      <w:pPr>
        <w:ind w:left="737"/>
        <w:jc w:val="both"/>
        <w:rPr>
          <w:rFonts w:ascii="Times New Roman" w:hAnsi="Times New Roman" w:cs="Times New Roman"/>
          <w:sz w:val="22"/>
          <w:szCs w:val="22"/>
        </w:rPr>
      </w:pPr>
      <w:r>
        <w:rPr>
          <w:rFonts w:ascii="Times New Roman" w:hAnsi="Times New Roman" w:cs="Times New Roman"/>
          <w:sz w:val="22"/>
          <w:szCs w:val="22"/>
        </w:rPr>
        <w:t>v</w:t>
      </w:r>
      <w:r>
        <w:rPr>
          <w:rFonts w:ascii="Times New Roman" w:hAnsi="Times New Roman" w:cs="Times New Roman"/>
          <w:sz w:val="22"/>
          <w:szCs w:val="22"/>
          <w:lang w:val="es-ES"/>
        </w:rPr>
        <w:t xml:space="preserve">iii </w:t>
      </w:r>
      <w:r w:rsidRPr="000B0BF5">
        <w:rPr>
          <w:rFonts w:ascii="Times New Roman" w:hAnsi="Times New Roman" w:cs="Times New Roman"/>
          <w:sz w:val="22"/>
          <w:szCs w:val="22"/>
          <w:lang w:val="es-ES"/>
        </w:rPr>
        <w:t>Mecanismos de flujo de fondos: Revisión de los procedimientos utilizados para controlar los fondos, incluida su canalización hacia las instituciones financieras contratadas y otras entidades ejecutoras. Revise las cuentas bancarias y los controles de esas cuentas bancarias. Realice una confirmación positiva de los saldos, según sea necesario.</w:t>
      </w:r>
    </w:p>
    <w:p w14:paraId="25BB6CCF" w14:textId="77777777" w:rsidR="00AB1293" w:rsidRPr="00077A67" w:rsidRDefault="00AB1293" w:rsidP="00914CD9">
      <w:pPr>
        <w:jc w:val="both"/>
        <w:rPr>
          <w:rFonts w:ascii="Times New Roman" w:hAnsi="Times New Roman" w:cs="Times New Roman"/>
          <w:sz w:val="22"/>
          <w:szCs w:val="22"/>
        </w:rPr>
      </w:pPr>
    </w:p>
    <w:p w14:paraId="224A05B0" w14:textId="6832FD1B" w:rsidR="00AB1293" w:rsidRPr="00077A67" w:rsidRDefault="000B0BF5" w:rsidP="00914CD9">
      <w:pPr>
        <w:ind w:left="737"/>
        <w:jc w:val="both"/>
        <w:rPr>
          <w:rFonts w:ascii="Times New Roman" w:hAnsi="Times New Roman" w:cs="Times New Roman"/>
          <w:sz w:val="22"/>
          <w:szCs w:val="22"/>
        </w:rPr>
      </w:pPr>
      <w:r>
        <w:rPr>
          <w:rFonts w:ascii="Times New Roman" w:hAnsi="Times New Roman" w:cs="Times New Roman"/>
          <w:sz w:val="22"/>
          <w:szCs w:val="22"/>
        </w:rPr>
        <w:t xml:space="preserve">ix. Salvaguarda </w:t>
      </w:r>
      <w:r w:rsidR="00511DD4" w:rsidRPr="00077A67">
        <w:rPr>
          <w:rFonts w:ascii="Times New Roman" w:hAnsi="Times New Roman" w:cs="Times New Roman"/>
          <w:sz w:val="22"/>
          <w:szCs w:val="22"/>
        </w:rPr>
        <w:t>de los activos. Comprobar que el Receptor Principal ha establecido mecanismos para supervisar y proteger los activos adquiridos con fondos de la subvención y que se están utilizando para los propósitos previstos. Verificar que existe un registro de los activos fijos del programa, y que se mantiene con arreglo al acuerdo de subvención; y que se han fijado derechos de propiedad u otros derechos de los beneficiarios relacionados de conformidad con las condiciones de la subvención.</w:t>
      </w:r>
    </w:p>
    <w:p w14:paraId="0CC8E52A" w14:textId="77777777" w:rsidR="00AB1293" w:rsidRPr="00077A67" w:rsidRDefault="00AB1293" w:rsidP="00914CD9">
      <w:pPr>
        <w:ind w:left="737"/>
        <w:jc w:val="both"/>
        <w:rPr>
          <w:rFonts w:ascii="Times New Roman" w:hAnsi="Times New Roman" w:cs="Times New Roman"/>
          <w:sz w:val="22"/>
          <w:szCs w:val="22"/>
        </w:rPr>
      </w:pPr>
    </w:p>
    <w:p w14:paraId="120C46E4" w14:textId="05692FFF" w:rsidR="00AB1293" w:rsidRPr="00077A67" w:rsidRDefault="000B0BF5" w:rsidP="00914CD9">
      <w:pPr>
        <w:ind w:left="737"/>
        <w:jc w:val="both"/>
        <w:rPr>
          <w:rFonts w:ascii="Times New Roman" w:hAnsi="Times New Roman" w:cs="Times New Roman"/>
          <w:sz w:val="22"/>
          <w:szCs w:val="22"/>
        </w:rPr>
      </w:pPr>
      <w:r>
        <w:rPr>
          <w:rFonts w:ascii="Times New Roman" w:hAnsi="Times New Roman" w:cs="Times New Roman"/>
          <w:sz w:val="22"/>
          <w:szCs w:val="22"/>
        </w:rPr>
        <w:t>x</w:t>
      </w:r>
      <w:r w:rsidR="00511DD4" w:rsidRPr="00077A67">
        <w:rPr>
          <w:rFonts w:ascii="Times New Roman" w:hAnsi="Times New Roman" w:cs="Times New Roman"/>
          <w:sz w:val="22"/>
          <w:szCs w:val="22"/>
        </w:rPr>
        <w:t>. Desembolso</w:t>
      </w:r>
      <w:r>
        <w:rPr>
          <w:rFonts w:ascii="Times New Roman" w:hAnsi="Times New Roman" w:cs="Times New Roman"/>
          <w:sz w:val="22"/>
          <w:szCs w:val="22"/>
        </w:rPr>
        <w:t>s a los subreceptores. Verificar</w:t>
      </w:r>
      <w:r w:rsidR="00511DD4" w:rsidRPr="00077A67">
        <w:rPr>
          <w:rFonts w:ascii="Times New Roman" w:hAnsi="Times New Roman" w:cs="Times New Roman"/>
          <w:sz w:val="22"/>
          <w:szCs w:val="22"/>
        </w:rPr>
        <w:t xml:space="preserve"> que los desembolsos realizados por el Receptor Principal a los subreceptores se ajustan a los acuerdos de sub-subvención de los subreceptores y al presupuesto y el plan de trabajo aprobados. Verificar que el Receptor Principal sigue un proceso adecuado para validar los informes de gastos presentados por los subreceptores.</w:t>
      </w:r>
    </w:p>
    <w:p w14:paraId="7C084901" w14:textId="77777777" w:rsidR="00AB1293" w:rsidRPr="00077A67" w:rsidRDefault="00AB1293" w:rsidP="00914CD9">
      <w:pPr>
        <w:jc w:val="both"/>
        <w:rPr>
          <w:rFonts w:ascii="Times New Roman" w:hAnsi="Times New Roman" w:cs="Times New Roman"/>
          <w:sz w:val="22"/>
          <w:szCs w:val="22"/>
        </w:rPr>
      </w:pPr>
    </w:p>
    <w:p w14:paraId="58C5D913" w14:textId="3A788CCF" w:rsidR="00AB1293" w:rsidRDefault="000B0BF5" w:rsidP="000B0BF5">
      <w:pPr>
        <w:ind w:left="737"/>
        <w:jc w:val="both"/>
        <w:rPr>
          <w:rFonts w:ascii="Times New Roman" w:hAnsi="Times New Roman" w:cs="Times New Roman"/>
          <w:sz w:val="22"/>
          <w:szCs w:val="22"/>
        </w:rPr>
      </w:pPr>
      <w:r>
        <w:rPr>
          <w:rFonts w:ascii="Times New Roman" w:hAnsi="Times New Roman" w:cs="Times New Roman"/>
          <w:sz w:val="22"/>
          <w:szCs w:val="22"/>
        </w:rPr>
        <w:t>x</w:t>
      </w:r>
      <w:r w:rsidR="00511DD4" w:rsidRPr="00077A67">
        <w:rPr>
          <w:rFonts w:ascii="Times New Roman" w:hAnsi="Times New Roman" w:cs="Times New Roman"/>
          <w:sz w:val="22"/>
          <w:szCs w:val="22"/>
        </w:rPr>
        <w:t xml:space="preserve">i. Mantenimiento de datos y documentación </w:t>
      </w:r>
      <w:r>
        <w:rPr>
          <w:rFonts w:ascii="Times New Roman" w:hAnsi="Times New Roman" w:cs="Times New Roman"/>
          <w:sz w:val="22"/>
          <w:szCs w:val="22"/>
        </w:rPr>
        <w:t>de respaldo:</w:t>
      </w:r>
      <w:r w:rsidR="00511DD4" w:rsidRPr="00077A67">
        <w:rPr>
          <w:rFonts w:ascii="Times New Roman" w:hAnsi="Times New Roman" w:cs="Times New Roman"/>
          <w:sz w:val="22"/>
          <w:szCs w:val="22"/>
        </w:rPr>
        <w:t xml:space="preserve"> </w:t>
      </w:r>
      <w:r w:rsidRPr="000B0BF5">
        <w:rPr>
          <w:rFonts w:ascii="Times New Roman" w:hAnsi="Times New Roman" w:cs="Times New Roman"/>
          <w:sz w:val="22"/>
          <w:szCs w:val="22"/>
        </w:rPr>
        <w:t>los documentos de respaldo, registros y cuentas necesarios se han conservado de conformidad con las disposiciones del Acuerdo de subvención. Existen procedimientos para la seguridad y gestión de datos electrónicos (sistemas y pr</w:t>
      </w:r>
      <w:r>
        <w:rPr>
          <w:rFonts w:ascii="Times New Roman" w:hAnsi="Times New Roman" w:cs="Times New Roman"/>
          <w:sz w:val="22"/>
          <w:szCs w:val="22"/>
        </w:rPr>
        <w:t>ocedimientos de respaldo, etc.)</w:t>
      </w:r>
      <w:r w:rsidR="00D75D0D">
        <w:rPr>
          <w:rFonts w:ascii="Times New Roman" w:hAnsi="Times New Roman" w:cs="Times New Roman"/>
          <w:sz w:val="22"/>
          <w:szCs w:val="22"/>
        </w:rPr>
        <w:t>;</w:t>
      </w:r>
    </w:p>
    <w:p w14:paraId="3DBEA86B" w14:textId="77777777" w:rsidR="00D75D0D" w:rsidRPr="00077A67" w:rsidRDefault="00D75D0D" w:rsidP="000B0BF5">
      <w:pPr>
        <w:ind w:left="737"/>
        <w:jc w:val="both"/>
        <w:rPr>
          <w:rFonts w:ascii="Times New Roman" w:hAnsi="Times New Roman" w:cs="Times New Roman"/>
          <w:sz w:val="22"/>
          <w:szCs w:val="22"/>
        </w:rPr>
      </w:pPr>
    </w:p>
    <w:p w14:paraId="39259FF2" w14:textId="61BDB18F" w:rsidR="00AB1293" w:rsidRPr="00077A67"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x</w:t>
      </w:r>
      <w:r w:rsidR="00D75D0D">
        <w:rPr>
          <w:rFonts w:ascii="Times New Roman" w:hAnsi="Times New Roman" w:cs="Times New Roman"/>
          <w:sz w:val="22"/>
          <w:szCs w:val="22"/>
        </w:rPr>
        <w:t>ii</w:t>
      </w:r>
      <w:r w:rsidRPr="00077A67">
        <w:rPr>
          <w:rFonts w:ascii="Times New Roman" w:hAnsi="Times New Roman" w:cs="Times New Roman"/>
          <w:sz w:val="22"/>
          <w:szCs w:val="22"/>
        </w:rPr>
        <w:t>. De forma adicional, el Fondo Mundial puede solicitar a los auditores que revisen las siguientes áreas, en cuyo caso el alcance adicional será acordado con antelación entre el Fondo Mundial y los auditores.</w:t>
      </w:r>
    </w:p>
    <w:p w14:paraId="7375CBEC" w14:textId="77777777" w:rsidR="00AB1293" w:rsidRPr="00077A67" w:rsidRDefault="00AB1293" w:rsidP="00914CD9">
      <w:pPr>
        <w:jc w:val="both"/>
        <w:rPr>
          <w:rFonts w:ascii="Times New Roman" w:hAnsi="Times New Roman" w:cs="Times New Roman"/>
          <w:sz w:val="22"/>
          <w:szCs w:val="22"/>
        </w:rPr>
      </w:pPr>
    </w:p>
    <w:p w14:paraId="091D01BE" w14:textId="00B30EB8" w:rsidR="00AB1293" w:rsidRPr="00077A67"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x</w:t>
      </w:r>
      <w:r w:rsidR="00D75D0D">
        <w:rPr>
          <w:rFonts w:ascii="Times New Roman" w:hAnsi="Times New Roman" w:cs="Times New Roman"/>
          <w:sz w:val="22"/>
          <w:szCs w:val="22"/>
        </w:rPr>
        <w:t>iii</w:t>
      </w:r>
      <w:r w:rsidRPr="00077A67">
        <w:rPr>
          <w:rFonts w:ascii="Times New Roman" w:hAnsi="Times New Roman" w:cs="Times New Roman"/>
          <w:sz w:val="22"/>
          <w:szCs w:val="22"/>
        </w:rPr>
        <w:t>. Bienes y servicios. Se han adquirido de forma transparente, competitiva y con arreglo al acuerdo de subvención y a las directrices de adquisición pertinentes aprobadas por el Fondo Mundial.</w:t>
      </w:r>
    </w:p>
    <w:p w14:paraId="38D883CE" w14:textId="77777777" w:rsidR="00AB1293" w:rsidRPr="00077A67" w:rsidRDefault="00AB1293" w:rsidP="00914CD9">
      <w:pPr>
        <w:ind w:left="737"/>
        <w:jc w:val="both"/>
        <w:rPr>
          <w:rFonts w:ascii="Times New Roman" w:hAnsi="Times New Roman" w:cs="Times New Roman"/>
          <w:sz w:val="22"/>
          <w:szCs w:val="22"/>
        </w:rPr>
      </w:pPr>
    </w:p>
    <w:p w14:paraId="2EF492AF" w14:textId="0D4191B7" w:rsidR="00AB1293" w:rsidRDefault="00511DD4" w:rsidP="00914CD9">
      <w:pPr>
        <w:ind w:left="737"/>
        <w:jc w:val="both"/>
        <w:rPr>
          <w:rFonts w:ascii="Times New Roman" w:hAnsi="Times New Roman" w:cs="Times New Roman"/>
          <w:sz w:val="22"/>
          <w:szCs w:val="22"/>
        </w:rPr>
      </w:pPr>
      <w:r w:rsidRPr="00077A67">
        <w:rPr>
          <w:rFonts w:ascii="Times New Roman" w:hAnsi="Times New Roman" w:cs="Times New Roman"/>
          <w:sz w:val="22"/>
          <w:szCs w:val="22"/>
        </w:rPr>
        <w:t>xi</w:t>
      </w:r>
      <w:r w:rsidR="00D75D0D">
        <w:rPr>
          <w:rFonts w:ascii="Times New Roman" w:hAnsi="Times New Roman" w:cs="Times New Roman"/>
          <w:sz w:val="22"/>
          <w:szCs w:val="22"/>
        </w:rPr>
        <w:t>v</w:t>
      </w:r>
      <w:r w:rsidRPr="00077A67">
        <w:rPr>
          <w:rFonts w:ascii="Times New Roman" w:hAnsi="Times New Roman" w:cs="Times New Roman"/>
          <w:sz w:val="22"/>
          <w:szCs w:val="22"/>
        </w:rPr>
        <w:t xml:space="preserve">. Sistemas de adquisición de productos farmacéuticos y otros productos sanitarios. </w:t>
      </w:r>
      <w:r w:rsidR="00D75D0D" w:rsidRPr="00D75D0D">
        <w:rPr>
          <w:rFonts w:ascii="Times New Roman" w:hAnsi="Times New Roman" w:cs="Times New Roman"/>
          <w:sz w:val="22"/>
          <w:szCs w:val="22"/>
        </w:rPr>
        <w:t>Revisión de los procedimientos de adquisición para determinar si se utilizaron prácticas comerciales sólidas, incluida la competencia, se obtuvieron precios razonables y se establecieron controles adecuados sobre las calidades y cantidades recibidas;</w:t>
      </w:r>
    </w:p>
    <w:p w14:paraId="1D9CEFE2" w14:textId="77777777" w:rsidR="00D75D0D" w:rsidRPr="00077A67" w:rsidRDefault="00D75D0D" w:rsidP="00914CD9">
      <w:pPr>
        <w:ind w:left="737"/>
        <w:jc w:val="both"/>
        <w:rPr>
          <w:rFonts w:ascii="Times New Roman" w:hAnsi="Times New Roman" w:cs="Times New Roman"/>
          <w:sz w:val="22"/>
          <w:szCs w:val="22"/>
        </w:rPr>
      </w:pPr>
    </w:p>
    <w:p w14:paraId="20AF2028" w14:textId="21FF1DD1" w:rsidR="00AB1293" w:rsidRDefault="00D75D0D" w:rsidP="00D75D0D">
      <w:pPr>
        <w:ind w:left="737"/>
        <w:jc w:val="both"/>
        <w:rPr>
          <w:rFonts w:ascii="Times New Roman" w:hAnsi="Times New Roman" w:cs="Times New Roman"/>
          <w:sz w:val="22"/>
          <w:szCs w:val="22"/>
        </w:rPr>
      </w:pPr>
      <w:r>
        <w:rPr>
          <w:rFonts w:ascii="Times New Roman" w:hAnsi="Times New Roman" w:cs="Times New Roman"/>
          <w:sz w:val="22"/>
          <w:szCs w:val="22"/>
        </w:rPr>
        <w:lastRenderedPageBreak/>
        <w:t>xv</w:t>
      </w:r>
      <w:r w:rsidR="00511DD4" w:rsidRPr="00077A67">
        <w:rPr>
          <w:rFonts w:ascii="Times New Roman" w:hAnsi="Times New Roman" w:cs="Times New Roman"/>
          <w:sz w:val="22"/>
          <w:szCs w:val="22"/>
        </w:rPr>
        <w:t xml:space="preserve">. </w:t>
      </w:r>
      <w:r w:rsidRPr="00D75D0D">
        <w:rPr>
          <w:rFonts w:ascii="Times New Roman" w:hAnsi="Times New Roman" w:cs="Times New Roman"/>
          <w:sz w:val="22"/>
          <w:szCs w:val="22"/>
        </w:rPr>
        <w:t>Costos de recursos humanos: revisión de los cargos salariales directos para determinar si las tasas salariales son razonables para ese puesto, de acuerdo con las aprobadas por el Fondo Mundial cuando se requiere aprobación y respaldadas por registros de nómina adecuados.</w:t>
      </w:r>
    </w:p>
    <w:p w14:paraId="53278E7A" w14:textId="1AC4E659" w:rsidR="00D75D0D" w:rsidRDefault="00D75D0D" w:rsidP="00D75D0D">
      <w:pPr>
        <w:ind w:left="737"/>
        <w:jc w:val="both"/>
        <w:rPr>
          <w:rFonts w:ascii="Times New Roman" w:hAnsi="Times New Roman" w:cs="Times New Roman"/>
          <w:sz w:val="22"/>
          <w:szCs w:val="22"/>
        </w:rPr>
      </w:pPr>
    </w:p>
    <w:p w14:paraId="0EC5B362" w14:textId="7846CEA0" w:rsidR="00D75D0D" w:rsidRDefault="00D75D0D" w:rsidP="00D75D0D">
      <w:pPr>
        <w:ind w:left="737"/>
        <w:jc w:val="both"/>
        <w:rPr>
          <w:rFonts w:ascii="Times New Roman" w:hAnsi="Times New Roman" w:cs="Times New Roman"/>
          <w:sz w:val="22"/>
          <w:szCs w:val="22"/>
        </w:rPr>
      </w:pPr>
      <w:r w:rsidRPr="00D75D0D">
        <w:rPr>
          <w:rFonts w:ascii="Times New Roman" w:hAnsi="Times New Roman" w:cs="Times New Roman"/>
          <w:sz w:val="22"/>
          <w:szCs w:val="22"/>
        </w:rPr>
        <w:t>xvi. Gastos de viaje y gastos relacionados: revisión de los gastos de viaje y transporte para determinar si cuentan con el apoyo y la aprobación adecuados.</w:t>
      </w:r>
    </w:p>
    <w:p w14:paraId="4F71C324" w14:textId="77777777" w:rsidR="00D75D0D" w:rsidRPr="00077A67" w:rsidRDefault="00D75D0D" w:rsidP="00D75D0D">
      <w:pPr>
        <w:ind w:left="737"/>
        <w:jc w:val="both"/>
        <w:rPr>
          <w:rFonts w:ascii="Times New Roman" w:hAnsi="Times New Roman" w:cs="Times New Roman"/>
          <w:sz w:val="22"/>
          <w:szCs w:val="22"/>
        </w:rPr>
      </w:pPr>
    </w:p>
    <w:p w14:paraId="797163B0" w14:textId="7FCB9B40" w:rsidR="00AB1293" w:rsidRPr="00077A67" w:rsidRDefault="008F1ABC" w:rsidP="00914CD9">
      <w:pPr>
        <w:jc w:val="both"/>
        <w:rPr>
          <w:rFonts w:ascii="Times New Roman" w:hAnsi="Times New Roman" w:cs="Times New Roman"/>
          <w:b/>
          <w:bCs/>
          <w:sz w:val="22"/>
          <w:szCs w:val="22"/>
        </w:rPr>
      </w:pPr>
      <w:r>
        <w:rPr>
          <w:rFonts w:ascii="Times New Roman" w:hAnsi="Times New Roman" w:cs="Times New Roman"/>
          <w:b/>
          <w:bCs/>
          <w:sz w:val="22"/>
          <w:szCs w:val="22"/>
        </w:rPr>
        <w:t>9</w:t>
      </w:r>
      <w:r w:rsidR="00511DD4" w:rsidRPr="00077A67">
        <w:rPr>
          <w:rFonts w:ascii="Times New Roman" w:hAnsi="Times New Roman" w:cs="Times New Roman"/>
          <w:b/>
          <w:bCs/>
          <w:sz w:val="22"/>
          <w:szCs w:val="22"/>
        </w:rPr>
        <w:t xml:space="preserve">. </w:t>
      </w:r>
      <w:r w:rsidR="00D75D0D">
        <w:rPr>
          <w:rFonts w:ascii="Times New Roman" w:hAnsi="Times New Roman" w:cs="Times New Roman"/>
          <w:b/>
          <w:bCs/>
          <w:sz w:val="22"/>
          <w:szCs w:val="22"/>
        </w:rPr>
        <w:t>Procedimientos de Auditoría</w:t>
      </w:r>
    </w:p>
    <w:p w14:paraId="0E0A49E2" w14:textId="77777777" w:rsidR="00AB1293" w:rsidRPr="00077A67" w:rsidRDefault="00AB1293" w:rsidP="00914CD9">
      <w:pPr>
        <w:jc w:val="both"/>
        <w:rPr>
          <w:rFonts w:ascii="Times New Roman" w:hAnsi="Times New Roman" w:cs="Times New Roman"/>
          <w:sz w:val="22"/>
          <w:szCs w:val="22"/>
        </w:rPr>
      </w:pPr>
    </w:p>
    <w:p w14:paraId="6AA04517" w14:textId="0808868F" w:rsidR="008F1ABC" w:rsidRDefault="008F1ABC" w:rsidP="00914CD9">
      <w:pPr>
        <w:jc w:val="both"/>
        <w:rPr>
          <w:rFonts w:ascii="Times New Roman" w:hAnsi="Times New Roman" w:cs="Times New Roman"/>
          <w:b/>
          <w:sz w:val="22"/>
          <w:szCs w:val="22"/>
        </w:rPr>
      </w:pPr>
      <w:r w:rsidRPr="0081454A">
        <w:rPr>
          <w:rFonts w:ascii="Times New Roman" w:hAnsi="Times New Roman" w:cs="Times New Roman"/>
          <w:b/>
          <w:sz w:val="22"/>
          <w:szCs w:val="22"/>
        </w:rPr>
        <w:t>9.1</w:t>
      </w:r>
      <w:r>
        <w:rPr>
          <w:rFonts w:ascii="Times New Roman" w:hAnsi="Times New Roman" w:cs="Times New Roman"/>
          <w:sz w:val="22"/>
          <w:szCs w:val="22"/>
        </w:rPr>
        <w:t xml:space="preserve"> </w:t>
      </w:r>
      <w:r w:rsidR="00D75D0D">
        <w:rPr>
          <w:rFonts w:ascii="Times New Roman" w:hAnsi="Times New Roman" w:cs="Times New Roman"/>
          <w:b/>
          <w:sz w:val="22"/>
          <w:szCs w:val="22"/>
        </w:rPr>
        <w:t>Planeamiento</w:t>
      </w:r>
    </w:p>
    <w:p w14:paraId="4A1ED32C" w14:textId="6ECB463C" w:rsidR="00D75D0D" w:rsidRDefault="00D75D0D" w:rsidP="00914CD9">
      <w:pPr>
        <w:jc w:val="both"/>
        <w:rPr>
          <w:rFonts w:ascii="Times New Roman" w:hAnsi="Times New Roman" w:cs="Times New Roman"/>
          <w:b/>
          <w:sz w:val="22"/>
          <w:szCs w:val="22"/>
        </w:rPr>
      </w:pPr>
    </w:p>
    <w:p w14:paraId="70205082" w14:textId="77777777" w:rsidR="005931EF" w:rsidRDefault="00D75D0D" w:rsidP="0081454A">
      <w:pPr>
        <w:jc w:val="both"/>
        <w:rPr>
          <w:rFonts w:ascii="Times New Roman" w:hAnsi="Times New Roman" w:cs="Times New Roman"/>
          <w:b/>
          <w:sz w:val="22"/>
          <w:szCs w:val="22"/>
        </w:rPr>
      </w:pPr>
      <w:r>
        <w:rPr>
          <w:rFonts w:ascii="Times New Roman" w:hAnsi="Times New Roman" w:cs="Times New Roman"/>
          <w:b/>
          <w:sz w:val="22"/>
          <w:szCs w:val="22"/>
        </w:rPr>
        <w:t>9.1.1 Reuni</w:t>
      </w:r>
      <w:r w:rsidR="0081454A">
        <w:rPr>
          <w:rFonts w:ascii="Times New Roman" w:hAnsi="Times New Roman" w:cs="Times New Roman"/>
          <w:b/>
          <w:sz w:val="22"/>
          <w:szCs w:val="22"/>
        </w:rPr>
        <w:t>ón de inicio con el receptor</w:t>
      </w:r>
      <w:r>
        <w:rPr>
          <w:rFonts w:ascii="Times New Roman" w:hAnsi="Times New Roman" w:cs="Times New Roman"/>
          <w:b/>
          <w:sz w:val="22"/>
          <w:szCs w:val="22"/>
        </w:rPr>
        <w:t xml:space="preserve"> principal:</w:t>
      </w:r>
      <w:r w:rsidR="0081454A" w:rsidRPr="0081454A">
        <w:rPr>
          <w:rFonts w:ascii="Times New Roman" w:hAnsi="Times New Roman" w:cs="Times New Roman"/>
          <w:b/>
          <w:sz w:val="22"/>
          <w:szCs w:val="22"/>
        </w:rPr>
        <w:t xml:space="preserve"> </w:t>
      </w:r>
    </w:p>
    <w:p w14:paraId="364E04A6" w14:textId="77777777" w:rsidR="00AD0B06" w:rsidRDefault="00AD0B06" w:rsidP="0081454A">
      <w:pPr>
        <w:jc w:val="both"/>
        <w:rPr>
          <w:rFonts w:ascii="Times New Roman" w:hAnsi="Times New Roman" w:cs="Times New Roman"/>
          <w:sz w:val="22"/>
          <w:szCs w:val="22"/>
        </w:rPr>
      </w:pPr>
    </w:p>
    <w:p w14:paraId="061C7369" w14:textId="673D50B4" w:rsidR="0081454A" w:rsidRPr="0081454A" w:rsidRDefault="005931EF" w:rsidP="0081454A">
      <w:pPr>
        <w:jc w:val="both"/>
        <w:rPr>
          <w:rFonts w:ascii="Times New Roman" w:hAnsi="Times New Roman" w:cs="Times New Roman"/>
          <w:sz w:val="22"/>
          <w:szCs w:val="22"/>
        </w:rPr>
      </w:pPr>
      <w:r w:rsidRPr="005931EF">
        <w:rPr>
          <w:rFonts w:ascii="Times New Roman" w:hAnsi="Times New Roman" w:cs="Times New Roman"/>
          <w:sz w:val="22"/>
          <w:szCs w:val="22"/>
        </w:rPr>
        <w:t>1</w:t>
      </w:r>
      <w:r>
        <w:rPr>
          <w:rFonts w:ascii="Times New Roman" w:hAnsi="Times New Roman" w:cs="Times New Roman"/>
          <w:b/>
          <w:sz w:val="22"/>
          <w:szCs w:val="22"/>
        </w:rPr>
        <w:t xml:space="preserve">. </w:t>
      </w:r>
      <w:r w:rsidR="0081454A" w:rsidRPr="0081454A">
        <w:rPr>
          <w:rFonts w:ascii="Times New Roman" w:hAnsi="Times New Roman" w:cs="Times New Roman"/>
          <w:sz w:val="22"/>
          <w:szCs w:val="22"/>
        </w:rPr>
        <w:t>Para cada subvención, el Auditor organizará una reunión de apertura con el Receptor Principal y el Agente</w:t>
      </w:r>
      <w:r>
        <w:rPr>
          <w:rFonts w:ascii="Times New Roman" w:hAnsi="Times New Roman" w:cs="Times New Roman"/>
          <w:sz w:val="22"/>
          <w:szCs w:val="22"/>
        </w:rPr>
        <w:t xml:space="preserve">  </w:t>
      </w:r>
      <w:r w:rsidR="0081454A" w:rsidRPr="0081454A">
        <w:rPr>
          <w:rFonts w:ascii="Times New Roman" w:hAnsi="Times New Roman" w:cs="Times New Roman"/>
          <w:sz w:val="22"/>
          <w:szCs w:val="22"/>
        </w:rPr>
        <w:t xml:space="preserve"> Fiscal / Fiduciario, si corresponde, para discutir y explicar la planificación, el trabajo de campo y los informes. El Auditor explicará la naturaleza, objetivos y alcance de la auditoría.</w:t>
      </w:r>
    </w:p>
    <w:p w14:paraId="0271DAF1" w14:textId="77777777" w:rsidR="00AD0B06" w:rsidRDefault="0081454A" w:rsidP="0081454A">
      <w:pPr>
        <w:jc w:val="both"/>
        <w:rPr>
          <w:rFonts w:ascii="Times New Roman" w:hAnsi="Times New Roman" w:cs="Times New Roman"/>
          <w:sz w:val="22"/>
          <w:szCs w:val="22"/>
        </w:rPr>
      </w:pPr>
      <w:r w:rsidRPr="0081454A">
        <w:rPr>
          <w:rFonts w:ascii="Times New Roman" w:hAnsi="Times New Roman" w:cs="Times New Roman"/>
          <w:sz w:val="22"/>
          <w:szCs w:val="22"/>
        </w:rPr>
        <w:t xml:space="preserve"> </w:t>
      </w:r>
    </w:p>
    <w:p w14:paraId="07524D6F" w14:textId="45986545" w:rsidR="00D75D0D"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2. </w:t>
      </w:r>
      <w:r w:rsidR="0081454A" w:rsidRPr="0081454A">
        <w:rPr>
          <w:rFonts w:ascii="Times New Roman" w:hAnsi="Times New Roman" w:cs="Times New Roman"/>
          <w:sz w:val="22"/>
          <w:szCs w:val="22"/>
        </w:rPr>
        <w:t>Durante las reuniones preparatorias y de lanzamiento, el Auditor podrá solicitar información y documentos adicionales que considere necesarios o útiles para la planificación y trabajo de campo de la auditoría. El Auditor puede comunicarse directamente con el Receptor Principal para obtener dicha informació</w:t>
      </w:r>
      <w:r w:rsidR="0081454A">
        <w:rPr>
          <w:rFonts w:ascii="Times New Roman" w:hAnsi="Times New Roman" w:cs="Times New Roman"/>
          <w:sz w:val="22"/>
          <w:szCs w:val="22"/>
        </w:rPr>
        <w:t>n. Para todos los países focalizados</w:t>
      </w:r>
      <w:r w:rsidR="0081454A" w:rsidRPr="0081454A">
        <w:rPr>
          <w:rFonts w:ascii="Times New Roman" w:hAnsi="Times New Roman" w:cs="Times New Roman"/>
          <w:sz w:val="22"/>
          <w:szCs w:val="22"/>
        </w:rPr>
        <w:t>, la asistencia del Agente de Fondos Local es obligatoria. En los países centrales y de alto impacto, la participación del ALF se basaría en las necesidades del equipo de país.</w:t>
      </w:r>
    </w:p>
    <w:p w14:paraId="2461ABA8" w14:textId="03703E25" w:rsidR="0081454A" w:rsidRDefault="0081454A" w:rsidP="0081454A">
      <w:pPr>
        <w:jc w:val="both"/>
        <w:rPr>
          <w:rFonts w:ascii="Times New Roman" w:hAnsi="Times New Roman" w:cs="Times New Roman"/>
          <w:sz w:val="22"/>
          <w:szCs w:val="22"/>
        </w:rPr>
      </w:pPr>
    </w:p>
    <w:p w14:paraId="4FBD226A" w14:textId="77777777" w:rsidR="005931EF" w:rsidRDefault="0081454A" w:rsidP="0081454A">
      <w:pPr>
        <w:jc w:val="both"/>
        <w:rPr>
          <w:rFonts w:ascii="Times New Roman" w:hAnsi="Times New Roman" w:cs="Times New Roman"/>
          <w:b/>
          <w:sz w:val="22"/>
          <w:szCs w:val="22"/>
        </w:rPr>
      </w:pPr>
      <w:r>
        <w:rPr>
          <w:rFonts w:ascii="Times New Roman" w:hAnsi="Times New Roman" w:cs="Times New Roman"/>
          <w:b/>
          <w:sz w:val="22"/>
          <w:szCs w:val="22"/>
        </w:rPr>
        <w:t>9.1.2 Actividades de planificación, plan de auditoría y programas de trabajo de auditoría:</w:t>
      </w:r>
      <w:r w:rsidRPr="0081454A">
        <w:rPr>
          <w:rFonts w:ascii="Times New Roman" w:hAnsi="Times New Roman" w:cs="Times New Roman"/>
          <w:b/>
          <w:sz w:val="22"/>
          <w:szCs w:val="22"/>
        </w:rPr>
        <w:t xml:space="preserve"> </w:t>
      </w:r>
    </w:p>
    <w:p w14:paraId="0AA39BA9" w14:textId="77777777" w:rsidR="00AD0B06" w:rsidRDefault="00AD0B06" w:rsidP="0081454A">
      <w:pPr>
        <w:jc w:val="both"/>
        <w:rPr>
          <w:rFonts w:ascii="Times New Roman" w:hAnsi="Times New Roman" w:cs="Times New Roman"/>
          <w:sz w:val="22"/>
          <w:szCs w:val="22"/>
        </w:rPr>
      </w:pPr>
    </w:p>
    <w:p w14:paraId="2DC521F3" w14:textId="67C4F97A" w:rsidR="0081454A" w:rsidRPr="0081454A" w:rsidRDefault="005931EF" w:rsidP="0081454A">
      <w:pPr>
        <w:jc w:val="both"/>
        <w:rPr>
          <w:rFonts w:ascii="Times New Roman" w:hAnsi="Times New Roman" w:cs="Times New Roman"/>
          <w:sz w:val="22"/>
          <w:szCs w:val="22"/>
        </w:rPr>
      </w:pPr>
      <w:r w:rsidRPr="005931EF">
        <w:rPr>
          <w:rFonts w:ascii="Times New Roman" w:hAnsi="Times New Roman" w:cs="Times New Roman"/>
          <w:sz w:val="22"/>
          <w:szCs w:val="22"/>
        </w:rPr>
        <w:t>3</w:t>
      </w:r>
      <w:r>
        <w:rPr>
          <w:rFonts w:ascii="Times New Roman" w:hAnsi="Times New Roman" w:cs="Times New Roman"/>
          <w:sz w:val="22"/>
          <w:szCs w:val="22"/>
        </w:rPr>
        <w:t xml:space="preserve">. </w:t>
      </w:r>
      <w:r w:rsidR="0081454A" w:rsidRPr="0081454A">
        <w:rPr>
          <w:rFonts w:ascii="Times New Roman" w:hAnsi="Times New Roman" w:cs="Times New Roman"/>
          <w:sz w:val="22"/>
          <w:szCs w:val="22"/>
        </w:rPr>
        <w:t>Para cada subvención, el Auditor debe planificar la auditoría de manera que se lleve a cabo de manera eficaz y eficiente. La planificación adecuada implica garantizar que se preste la atención adecuada a las áreas importantes de la auditoría, que los problemas potenciales se identifiquen y resuelvan oportunamente y que la auditoría se organice y gestione adecuadamente dentro de las fechas de vencimiento.</w:t>
      </w:r>
    </w:p>
    <w:p w14:paraId="6DF2F1F2" w14:textId="77777777" w:rsidR="00AD0B06" w:rsidRDefault="0081454A" w:rsidP="0081454A">
      <w:pPr>
        <w:jc w:val="both"/>
        <w:rPr>
          <w:rFonts w:ascii="Times New Roman" w:hAnsi="Times New Roman" w:cs="Times New Roman"/>
          <w:sz w:val="22"/>
          <w:szCs w:val="22"/>
        </w:rPr>
      </w:pPr>
      <w:r w:rsidRPr="0081454A">
        <w:rPr>
          <w:rFonts w:ascii="Times New Roman" w:hAnsi="Times New Roman" w:cs="Times New Roman"/>
          <w:sz w:val="22"/>
          <w:szCs w:val="22"/>
        </w:rPr>
        <w:t xml:space="preserve"> </w:t>
      </w:r>
    </w:p>
    <w:p w14:paraId="32643178" w14:textId="667D3F51" w:rsidR="00D75D0D"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4. </w:t>
      </w:r>
      <w:r w:rsidR="0081454A" w:rsidRPr="0081454A">
        <w:rPr>
          <w:rFonts w:ascii="Times New Roman" w:hAnsi="Times New Roman" w:cs="Times New Roman"/>
          <w:sz w:val="22"/>
          <w:szCs w:val="22"/>
        </w:rPr>
        <w:t>La evaluación de los riesgos de representación errónea de importancia relativa a nivel de estado financiero y, por lo tanto, las respuestas generales del auditor, se ve afectada por la comprensión del auditor del entorno de control.</w:t>
      </w:r>
    </w:p>
    <w:p w14:paraId="7E9AFFCC" w14:textId="77777777" w:rsidR="00AD0B06" w:rsidRDefault="00AD0B06" w:rsidP="0081454A">
      <w:pPr>
        <w:jc w:val="both"/>
        <w:rPr>
          <w:rFonts w:ascii="Times New Roman" w:hAnsi="Times New Roman" w:cs="Times New Roman"/>
          <w:sz w:val="22"/>
          <w:szCs w:val="22"/>
        </w:rPr>
      </w:pPr>
    </w:p>
    <w:p w14:paraId="07385026" w14:textId="360F28BF" w:rsidR="0081454A" w:rsidRP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5.</w:t>
      </w:r>
      <w:r w:rsidR="0081454A">
        <w:rPr>
          <w:rFonts w:ascii="Times New Roman" w:hAnsi="Times New Roman" w:cs="Times New Roman"/>
          <w:sz w:val="22"/>
          <w:szCs w:val="22"/>
        </w:rPr>
        <w:t xml:space="preserve"> </w:t>
      </w:r>
      <w:r w:rsidR="0081454A" w:rsidRPr="0081454A">
        <w:rPr>
          <w:rFonts w:ascii="Times New Roman" w:hAnsi="Times New Roman" w:cs="Times New Roman"/>
          <w:sz w:val="22"/>
          <w:szCs w:val="22"/>
        </w:rPr>
        <w:t>El auditor debe tener un plan de auditoría que documente el enfoque de auditoría y los principios clave de la planificación de la auditoría, el trabajo de campo y la presentación de informes. El Auditor debe tener programas de trabajo de auditoría que detallen y documenten las pruebas y procedimientos de auditoría.</w:t>
      </w:r>
    </w:p>
    <w:p w14:paraId="0526CBB9" w14:textId="2B57391B" w:rsid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6. </w:t>
      </w:r>
      <w:r w:rsidR="0081454A" w:rsidRPr="0081454A">
        <w:rPr>
          <w:rFonts w:ascii="Times New Roman" w:hAnsi="Times New Roman" w:cs="Times New Roman"/>
          <w:sz w:val="22"/>
          <w:szCs w:val="22"/>
        </w:rPr>
        <w:t>Antes del inicio del trabajo de campo y antes de la reunión de inicio, el Auditor debe proporcionar al Fondo Mundial y al Receptor Principal, el plan de auditoría para cada subvención, incluido el alcance de la revisión. Se prestará especial atención al enfoque de auditoría en el Receptor principal, pero también en los Subreceptores seleccionados.</w:t>
      </w:r>
    </w:p>
    <w:p w14:paraId="23AB01FC" w14:textId="6E3F121C" w:rsidR="0081454A" w:rsidRDefault="0081454A" w:rsidP="0081454A">
      <w:pPr>
        <w:jc w:val="both"/>
        <w:rPr>
          <w:rFonts w:ascii="Times New Roman" w:hAnsi="Times New Roman" w:cs="Times New Roman"/>
          <w:sz w:val="22"/>
          <w:szCs w:val="22"/>
        </w:rPr>
      </w:pPr>
    </w:p>
    <w:p w14:paraId="33166383" w14:textId="7964C775" w:rsidR="0081454A" w:rsidRDefault="0081454A" w:rsidP="0081454A">
      <w:pPr>
        <w:jc w:val="both"/>
        <w:rPr>
          <w:rFonts w:ascii="Times New Roman" w:hAnsi="Times New Roman" w:cs="Times New Roman"/>
          <w:b/>
          <w:sz w:val="22"/>
          <w:szCs w:val="22"/>
        </w:rPr>
      </w:pPr>
      <w:r>
        <w:rPr>
          <w:rFonts w:ascii="Times New Roman" w:hAnsi="Times New Roman" w:cs="Times New Roman"/>
          <w:b/>
          <w:sz w:val="22"/>
          <w:szCs w:val="22"/>
        </w:rPr>
        <w:t>9.2</w:t>
      </w:r>
      <w:r>
        <w:rPr>
          <w:rFonts w:ascii="Times New Roman" w:hAnsi="Times New Roman" w:cs="Times New Roman"/>
          <w:sz w:val="22"/>
          <w:szCs w:val="22"/>
        </w:rPr>
        <w:t xml:space="preserve"> </w:t>
      </w:r>
      <w:r w:rsidRPr="0081454A">
        <w:rPr>
          <w:rFonts w:ascii="Times New Roman" w:hAnsi="Times New Roman" w:cs="Times New Roman"/>
          <w:b/>
          <w:sz w:val="22"/>
          <w:szCs w:val="22"/>
        </w:rPr>
        <w:t>Materialidad</w:t>
      </w:r>
    </w:p>
    <w:p w14:paraId="1241A5AD" w14:textId="77777777" w:rsidR="00AD0B06" w:rsidRDefault="00AD0B06" w:rsidP="0081454A">
      <w:pPr>
        <w:jc w:val="both"/>
        <w:rPr>
          <w:rFonts w:ascii="Times New Roman" w:hAnsi="Times New Roman" w:cs="Times New Roman"/>
          <w:sz w:val="22"/>
          <w:szCs w:val="22"/>
        </w:rPr>
      </w:pPr>
    </w:p>
    <w:p w14:paraId="79993479" w14:textId="0FF7032E" w:rsidR="0081454A" w:rsidRP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7. </w:t>
      </w:r>
      <w:r w:rsidR="0081454A" w:rsidRPr="0081454A">
        <w:rPr>
          <w:rFonts w:ascii="Times New Roman" w:hAnsi="Times New Roman" w:cs="Times New Roman"/>
          <w:sz w:val="22"/>
          <w:szCs w:val="22"/>
        </w:rPr>
        <w:t>El auditor debe aplicar la materialidad y un enfoque basado en el riesgo para detectar errores materiales y representaciones erróneas en los gastos e ingresos declarados en los estados financieros de la subvención, ya sea por error o fraude.</w:t>
      </w:r>
    </w:p>
    <w:p w14:paraId="0DA24751" w14:textId="77777777" w:rsidR="00AD0B06" w:rsidRDefault="00AD0B06" w:rsidP="0081454A">
      <w:pPr>
        <w:jc w:val="both"/>
        <w:rPr>
          <w:rFonts w:ascii="Times New Roman" w:hAnsi="Times New Roman" w:cs="Times New Roman"/>
          <w:sz w:val="22"/>
          <w:szCs w:val="22"/>
        </w:rPr>
      </w:pPr>
    </w:p>
    <w:p w14:paraId="2A44C2ED" w14:textId="422E849D" w:rsid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8. </w:t>
      </w:r>
      <w:r w:rsidR="0081454A" w:rsidRPr="0081454A">
        <w:rPr>
          <w:rFonts w:ascii="Times New Roman" w:hAnsi="Times New Roman" w:cs="Times New Roman"/>
          <w:sz w:val="22"/>
          <w:szCs w:val="22"/>
        </w:rPr>
        <w:t xml:space="preserve">El Auditor utiliza su juicio profesional para evaluar si un hallazgo de incumplimiento es material. Se debe determinar una base razonable según la utilice el Auditor para establecer el nivel de materialidad. Por ejemplo, el umbral puede aplicarse a la cantidad total de gastos brutos de la subvención para el período que se audita. El gasto </w:t>
      </w:r>
      <w:r w:rsidR="0081454A" w:rsidRPr="0081454A">
        <w:rPr>
          <w:rFonts w:ascii="Times New Roman" w:hAnsi="Times New Roman" w:cs="Times New Roman"/>
          <w:sz w:val="22"/>
          <w:szCs w:val="22"/>
        </w:rPr>
        <w:lastRenderedPageBreak/>
        <w:t>bruto es el gasto real total incurrido para la subvención antes de la deducción de los ingresos relacionados con la subvención (por ejemplo, intereses).</w:t>
      </w:r>
    </w:p>
    <w:p w14:paraId="2D8AA1AF" w14:textId="77777777" w:rsidR="0081454A" w:rsidRDefault="0081454A" w:rsidP="0081454A">
      <w:pPr>
        <w:jc w:val="both"/>
        <w:rPr>
          <w:rFonts w:ascii="Times New Roman" w:hAnsi="Times New Roman" w:cs="Times New Roman"/>
          <w:sz w:val="22"/>
          <w:szCs w:val="22"/>
        </w:rPr>
      </w:pPr>
    </w:p>
    <w:p w14:paraId="2DFEA75C" w14:textId="65037FC5" w:rsidR="0081454A" w:rsidRDefault="0081454A" w:rsidP="0081454A">
      <w:pPr>
        <w:jc w:val="both"/>
        <w:rPr>
          <w:rFonts w:ascii="Times New Roman" w:hAnsi="Times New Roman" w:cs="Times New Roman"/>
          <w:b/>
          <w:sz w:val="22"/>
          <w:szCs w:val="22"/>
        </w:rPr>
      </w:pPr>
      <w:r w:rsidRPr="0081454A">
        <w:rPr>
          <w:rFonts w:ascii="Times New Roman" w:hAnsi="Times New Roman" w:cs="Times New Roman"/>
          <w:b/>
          <w:sz w:val="22"/>
          <w:szCs w:val="22"/>
        </w:rPr>
        <w:t xml:space="preserve">9.3 </w:t>
      </w:r>
      <w:r>
        <w:rPr>
          <w:rFonts w:ascii="Times New Roman" w:hAnsi="Times New Roman" w:cs="Times New Roman"/>
          <w:b/>
          <w:sz w:val="22"/>
          <w:szCs w:val="22"/>
        </w:rPr>
        <w:t>Trabajo de campo</w:t>
      </w:r>
    </w:p>
    <w:p w14:paraId="52498780" w14:textId="46E0AE99" w:rsidR="0081454A" w:rsidRDefault="0081454A" w:rsidP="0081454A">
      <w:pPr>
        <w:jc w:val="both"/>
        <w:rPr>
          <w:rFonts w:ascii="Times New Roman" w:hAnsi="Times New Roman" w:cs="Times New Roman"/>
          <w:b/>
          <w:sz w:val="22"/>
          <w:szCs w:val="22"/>
        </w:rPr>
      </w:pPr>
    </w:p>
    <w:p w14:paraId="099A3579" w14:textId="77777777" w:rsidR="0081454A" w:rsidRDefault="0081454A" w:rsidP="0081454A">
      <w:pPr>
        <w:jc w:val="both"/>
        <w:rPr>
          <w:rFonts w:ascii="Times New Roman" w:hAnsi="Times New Roman" w:cs="Times New Roman"/>
          <w:sz w:val="22"/>
          <w:szCs w:val="22"/>
        </w:rPr>
      </w:pPr>
      <w:r>
        <w:rPr>
          <w:rFonts w:ascii="Times New Roman" w:hAnsi="Times New Roman" w:cs="Times New Roman"/>
          <w:b/>
          <w:sz w:val="22"/>
          <w:szCs w:val="22"/>
        </w:rPr>
        <w:t xml:space="preserve">9.3.1 </w:t>
      </w:r>
      <w:r w:rsidRPr="0081454A">
        <w:rPr>
          <w:rFonts w:ascii="Times New Roman" w:hAnsi="Times New Roman" w:cs="Times New Roman"/>
          <w:b/>
          <w:sz w:val="22"/>
          <w:szCs w:val="22"/>
        </w:rPr>
        <w:t>Obtención de evidencia sobre el diseño de controles y realización de pruebas de controles</w:t>
      </w:r>
    </w:p>
    <w:p w14:paraId="4D0DA00B" w14:textId="77777777" w:rsidR="00AD0B06" w:rsidRDefault="00AD0B06" w:rsidP="0081454A">
      <w:pPr>
        <w:jc w:val="both"/>
        <w:rPr>
          <w:rFonts w:ascii="Times New Roman" w:hAnsi="Times New Roman" w:cs="Times New Roman"/>
          <w:sz w:val="22"/>
          <w:szCs w:val="22"/>
        </w:rPr>
      </w:pPr>
    </w:p>
    <w:p w14:paraId="5B443BFA" w14:textId="64027349" w:rsidR="0081454A" w:rsidRP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 xml:space="preserve">9. </w:t>
      </w:r>
      <w:r w:rsidR="0081454A" w:rsidRPr="0081454A">
        <w:rPr>
          <w:rFonts w:ascii="Times New Roman" w:hAnsi="Times New Roman" w:cs="Times New Roman"/>
          <w:sz w:val="22"/>
          <w:szCs w:val="22"/>
        </w:rPr>
        <w:t>El Auditor realizará procedimientos para obtener evidencia sobre el diseño de controles y realizará pruebas de controles si lo considera apropiado o necesario para los fines de esta auditoría financiera.</w:t>
      </w:r>
    </w:p>
    <w:p w14:paraId="63BDC1AE" w14:textId="64AA9D01" w:rsidR="0081454A" w:rsidRPr="0081454A" w:rsidRDefault="005931EF" w:rsidP="0081454A">
      <w:pPr>
        <w:jc w:val="both"/>
        <w:rPr>
          <w:rFonts w:ascii="Times New Roman" w:hAnsi="Times New Roman" w:cs="Times New Roman"/>
          <w:sz w:val="22"/>
          <w:szCs w:val="22"/>
        </w:rPr>
      </w:pPr>
      <w:r>
        <w:rPr>
          <w:rFonts w:ascii="Times New Roman" w:hAnsi="Times New Roman" w:cs="Times New Roman"/>
          <w:sz w:val="22"/>
          <w:szCs w:val="22"/>
        </w:rPr>
        <w:t>10.</w:t>
      </w:r>
      <w:r w:rsidR="0081454A" w:rsidRPr="0081454A">
        <w:rPr>
          <w:rFonts w:ascii="Times New Roman" w:hAnsi="Times New Roman" w:cs="Times New Roman"/>
          <w:sz w:val="22"/>
          <w:szCs w:val="22"/>
        </w:rPr>
        <w:t xml:space="preserve"> El Auditor centrará las pruebas de los controles en los controles financieros clave, que se relacionan con los temas descritos en los términos de referencia y que son relevantes para la gestión de los riesgos. Los hallazgos de debilidades y deficiencias significativas en el diseño o la efectividad operativa de los controles del Receptor Principal deben informarse en la carta de administración.</w:t>
      </w:r>
    </w:p>
    <w:p w14:paraId="3496F4BB" w14:textId="10C7BB23" w:rsidR="0081454A" w:rsidRDefault="00BB14BF" w:rsidP="0081454A">
      <w:pPr>
        <w:jc w:val="both"/>
        <w:rPr>
          <w:rFonts w:ascii="Times New Roman" w:hAnsi="Times New Roman" w:cs="Times New Roman"/>
          <w:sz w:val="22"/>
          <w:szCs w:val="22"/>
        </w:rPr>
      </w:pPr>
      <w:r>
        <w:rPr>
          <w:rFonts w:ascii="Times New Roman" w:hAnsi="Times New Roman" w:cs="Times New Roman"/>
          <w:sz w:val="22"/>
          <w:szCs w:val="22"/>
        </w:rPr>
        <w:t>11.</w:t>
      </w:r>
      <w:r w:rsidR="0081454A" w:rsidRPr="0081454A">
        <w:rPr>
          <w:rFonts w:ascii="Times New Roman" w:hAnsi="Times New Roman" w:cs="Times New Roman"/>
          <w:sz w:val="22"/>
          <w:szCs w:val="22"/>
        </w:rPr>
        <w:t xml:space="preserve"> Para los países centrales, países de alto impacto y un número seleccionado de países enfocados en alto riesgo, la auditoría debe revisar el marco de control interno (financiero y programático) del receptor principal y los subreceptores clave identificados por el equipo de país del Fondo Mundial en consulta con el Receptor Principal e informar al respecto. A discreción del Equipo de País, dichas pruebas podrían realizarse durante una auditoría intermedia en el Receptor Prin</w:t>
      </w:r>
      <w:r w:rsidR="005931EF">
        <w:rPr>
          <w:rFonts w:ascii="Times New Roman" w:hAnsi="Times New Roman" w:cs="Times New Roman"/>
          <w:sz w:val="22"/>
          <w:szCs w:val="22"/>
        </w:rPr>
        <w:t>cipal.</w:t>
      </w:r>
    </w:p>
    <w:p w14:paraId="63439B34" w14:textId="4BD486D6" w:rsidR="005931EF" w:rsidRDefault="005931EF" w:rsidP="0081454A">
      <w:pPr>
        <w:jc w:val="both"/>
        <w:rPr>
          <w:rFonts w:ascii="Times New Roman" w:hAnsi="Times New Roman" w:cs="Times New Roman"/>
          <w:sz w:val="22"/>
          <w:szCs w:val="22"/>
        </w:rPr>
      </w:pPr>
    </w:p>
    <w:p w14:paraId="3345A8DE" w14:textId="6BDEFCF6" w:rsidR="005931EF" w:rsidRDefault="005931EF" w:rsidP="005931EF">
      <w:pPr>
        <w:jc w:val="both"/>
        <w:rPr>
          <w:rFonts w:ascii="Times New Roman" w:hAnsi="Times New Roman" w:cs="Times New Roman"/>
          <w:b/>
          <w:sz w:val="22"/>
          <w:szCs w:val="22"/>
        </w:rPr>
      </w:pPr>
      <w:r>
        <w:rPr>
          <w:rFonts w:ascii="Times New Roman" w:hAnsi="Times New Roman" w:cs="Times New Roman"/>
          <w:b/>
          <w:sz w:val="22"/>
          <w:szCs w:val="22"/>
        </w:rPr>
        <w:t>9.3.2 Procedimientos sustantivos</w:t>
      </w:r>
    </w:p>
    <w:p w14:paraId="272EC847" w14:textId="77777777" w:rsidR="00AD0B06" w:rsidRDefault="00AD0B06" w:rsidP="005931EF">
      <w:pPr>
        <w:jc w:val="both"/>
        <w:rPr>
          <w:rFonts w:ascii="Times New Roman" w:hAnsi="Times New Roman" w:cs="Times New Roman"/>
          <w:sz w:val="22"/>
          <w:szCs w:val="22"/>
        </w:rPr>
      </w:pPr>
    </w:p>
    <w:p w14:paraId="31399EAB" w14:textId="3890D456"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 xml:space="preserve">12. </w:t>
      </w:r>
      <w:r w:rsidR="005931EF" w:rsidRPr="005931EF">
        <w:rPr>
          <w:rFonts w:ascii="Times New Roman" w:hAnsi="Times New Roman" w:cs="Times New Roman"/>
          <w:sz w:val="22"/>
          <w:szCs w:val="22"/>
        </w:rPr>
        <w:t>El auditor debe realizar procedimientos sustantivos para responder a su evaluación de los riesgos de errores materiales o incorrecciones en los gastos e ingresos indicados en los estados financieros del programa de subvenciones, ya sea por error o fraude. Deben tenerse en cuenta los resultados de las pruebas de los controles, si los hay. El Auditor debe realizar procedimientos sustantivos que cubran los temas descritos en los términos de referencia cuando sea posible y que sean relevantes para la gestión de los riesgos.</w:t>
      </w:r>
    </w:p>
    <w:p w14:paraId="649B642C" w14:textId="6BB5568E" w:rsidR="005931EF" w:rsidRPr="0081454A" w:rsidRDefault="00BB14BF" w:rsidP="005931EF">
      <w:pPr>
        <w:jc w:val="both"/>
        <w:rPr>
          <w:rFonts w:ascii="Times New Roman" w:hAnsi="Times New Roman" w:cs="Times New Roman"/>
          <w:sz w:val="22"/>
          <w:szCs w:val="22"/>
        </w:rPr>
      </w:pPr>
      <w:r>
        <w:rPr>
          <w:rFonts w:ascii="Times New Roman" w:hAnsi="Times New Roman" w:cs="Times New Roman"/>
          <w:sz w:val="22"/>
          <w:szCs w:val="22"/>
        </w:rPr>
        <w:t>13.</w:t>
      </w:r>
      <w:r w:rsidR="005931EF" w:rsidRPr="005931EF">
        <w:rPr>
          <w:rFonts w:ascii="Times New Roman" w:hAnsi="Times New Roman" w:cs="Times New Roman"/>
          <w:sz w:val="22"/>
          <w:szCs w:val="22"/>
        </w:rPr>
        <w:t xml:space="preserve"> Con respecto al riesgo de fraude, el auditor debe cumplir con la Norma Internacional de Auditoría 240 "las responsabilidades del auditor relacionadas con el fraude en una auditoría de estados financieros"</w:t>
      </w:r>
    </w:p>
    <w:p w14:paraId="04A6AFA4" w14:textId="1E152AAC" w:rsidR="0081454A" w:rsidRPr="0081454A" w:rsidRDefault="0081454A" w:rsidP="0081454A">
      <w:pPr>
        <w:jc w:val="both"/>
        <w:rPr>
          <w:rFonts w:ascii="Times New Roman" w:hAnsi="Times New Roman" w:cs="Times New Roman"/>
          <w:b/>
          <w:sz w:val="22"/>
          <w:szCs w:val="22"/>
        </w:rPr>
      </w:pPr>
    </w:p>
    <w:p w14:paraId="54E9E27A" w14:textId="1F4C6C9D" w:rsidR="005931EF" w:rsidRDefault="005931EF" w:rsidP="005931EF">
      <w:pPr>
        <w:jc w:val="both"/>
        <w:rPr>
          <w:rFonts w:ascii="Times New Roman" w:hAnsi="Times New Roman" w:cs="Times New Roman"/>
          <w:b/>
          <w:sz w:val="22"/>
          <w:szCs w:val="22"/>
        </w:rPr>
      </w:pPr>
      <w:r>
        <w:rPr>
          <w:rFonts w:ascii="Times New Roman" w:hAnsi="Times New Roman" w:cs="Times New Roman"/>
          <w:b/>
          <w:sz w:val="22"/>
          <w:szCs w:val="22"/>
        </w:rPr>
        <w:t>9.3.3 Muestreo y otros medios de seleccionar elementos para la prueba</w:t>
      </w:r>
    </w:p>
    <w:p w14:paraId="1EC5D08D" w14:textId="77777777" w:rsidR="00AD0B06" w:rsidRDefault="00AD0B06" w:rsidP="005931EF">
      <w:pPr>
        <w:jc w:val="both"/>
        <w:rPr>
          <w:rFonts w:ascii="Times New Roman" w:hAnsi="Times New Roman" w:cs="Times New Roman"/>
          <w:sz w:val="22"/>
          <w:szCs w:val="22"/>
        </w:rPr>
      </w:pPr>
    </w:p>
    <w:p w14:paraId="51EF88F1" w14:textId="4696B5B6" w:rsid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 xml:space="preserve">14. </w:t>
      </w:r>
      <w:r w:rsidR="005931EF" w:rsidRPr="005931EF">
        <w:rPr>
          <w:rFonts w:ascii="Times New Roman" w:hAnsi="Times New Roman" w:cs="Times New Roman"/>
          <w:sz w:val="22"/>
          <w:szCs w:val="22"/>
        </w:rPr>
        <w:t>Al diseñar y realizar pruebas de controles y pruebas sustantivas, el Auditor debe aplicar muestreo de auditoría u otros medios para seleccionar elementos para prueba. El muestreo de auditoría implica la aplicación de procedimientos de auditoría a menos del 100% de los elementos dentro de una población de relevancia para la auditoría (por ejemplo, una clase de transacciones o saldo de cuenta) de manera que todas las unidades de muestreo tengan una posibilidad de selección para proporcionar al auditor un base sobre la cual sacar conclusiones sobre toda la población.</w:t>
      </w:r>
    </w:p>
    <w:p w14:paraId="795840F5" w14:textId="77777777" w:rsidR="00AD0B06" w:rsidRDefault="00AD0B06" w:rsidP="005931EF">
      <w:pPr>
        <w:jc w:val="both"/>
        <w:rPr>
          <w:rFonts w:ascii="Times New Roman" w:hAnsi="Times New Roman" w:cs="Times New Roman"/>
          <w:sz w:val="22"/>
          <w:szCs w:val="22"/>
        </w:rPr>
      </w:pPr>
    </w:p>
    <w:p w14:paraId="77C399A2" w14:textId="0289BE5A"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15.</w:t>
      </w:r>
      <w:r w:rsidR="005931EF" w:rsidRPr="005931EF">
        <w:t xml:space="preserve"> </w:t>
      </w:r>
      <w:r w:rsidR="005931EF" w:rsidRPr="005931EF">
        <w:rPr>
          <w:rFonts w:ascii="Times New Roman" w:hAnsi="Times New Roman" w:cs="Times New Roman"/>
          <w:sz w:val="22"/>
          <w:szCs w:val="22"/>
        </w:rPr>
        <w:t>El muestreo de auditoría puede utilizar un enfoque estadístico o no estadístico. El auditor puede utilizar una selección de juicios de elementos específicos de una población (por ejemplo, elementos clave o de alto valor, todos los elementos por encima de una cierta cantidad, elementos para obtener información o elementos para probar las actividades de control).</w:t>
      </w:r>
    </w:p>
    <w:p w14:paraId="291BD8D0" w14:textId="77777777" w:rsidR="00AD0B06" w:rsidRDefault="00AD0B06" w:rsidP="005931EF">
      <w:pPr>
        <w:jc w:val="both"/>
        <w:rPr>
          <w:rFonts w:ascii="Times New Roman" w:hAnsi="Times New Roman" w:cs="Times New Roman"/>
          <w:sz w:val="22"/>
          <w:szCs w:val="22"/>
        </w:rPr>
      </w:pPr>
    </w:p>
    <w:p w14:paraId="25E9DEE7" w14:textId="1173F8C8"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16.</w:t>
      </w:r>
      <w:r w:rsidR="005931EF" w:rsidRPr="005931EF">
        <w:rPr>
          <w:rFonts w:ascii="Times New Roman" w:hAnsi="Times New Roman" w:cs="Times New Roman"/>
          <w:sz w:val="22"/>
          <w:szCs w:val="22"/>
        </w:rPr>
        <w:t xml:space="preserve"> Si bien el examen selectivo de elementos específicos a menudo será un medio eficaz de obtener pruebas, no constituye un muestreo. No es posible proyectar a toda la población los resultados de los procedimientos aplicados a los ítems seleccionados de esta manera; en consecuencia, el examen selectivo de elementos específicos no proporciona pruebas sobre el resto de la población. El muestreo, por otro lado, está diseñado para permitir extraer conclusiones sobre una población completa basándose en la prueba de una muestra extraída de ella.</w:t>
      </w:r>
    </w:p>
    <w:p w14:paraId="4D36B75A" w14:textId="77777777" w:rsidR="00AD0B06" w:rsidRDefault="00AD0B06" w:rsidP="005931EF">
      <w:pPr>
        <w:jc w:val="both"/>
        <w:rPr>
          <w:rFonts w:ascii="Times New Roman" w:hAnsi="Times New Roman" w:cs="Times New Roman"/>
          <w:sz w:val="22"/>
          <w:szCs w:val="22"/>
        </w:rPr>
      </w:pPr>
    </w:p>
    <w:p w14:paraId="598FB6D7" w14:textId="4B170564"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17.</w:t>
      </w:r>
      <w:r w:rsidR="005931EF" w:rsidRPr="005931EF">
        <w:rPr>
          <w:rFonts w:ascii="Times New Roman" w:hAnsi="Times New Roman" w:cs="Times New Roman"/>
          <w:sz w:val="22"/>
          <w:szCs w:val="22"/>
        </w:rPr>
        <w:t xml:space="preserve"> El Auditor debe proporcionar claramente detalles de la cobertura de gastos por línea presupuestaria y destinatario y la metodología de selección de la muestra. El anexo 1 de estos términos de referencia debe utilizarse </w:t>
      </w:r>
      <w:r w:rsidR="005931EF" w:rsidRPr="005931EF">
        <w:rPr>
          <w:rFonts w:ascii="Times New Roman" w:hAnsi="Times New Roman" w:cs="Times New Roman"/>
          <w:sz w:val="22"/>
          <w:szCs w:val="22"/>
        </w:rPr>
        <w:lastRenderedPageBreak/>
        <w:t>para documentar esta información.</w:t>
      </w:r>
    </w:p>
    <w:p w14:paraId="6E320A47" w14:textId="77777777" w:rsidR="005931EF" w:rsidRDefault="005931EF" w:rsidP="005931EF">
      <w:pPr>
        <w:jc w:val="both"/>
        <w:rPr>
          <w:rFonts w:ascii="Times New Roman" w:hAnsi="Times New Roman" w:cs="Times New Roman"/>
          <w:b/>
          <w:sz w:val="22"/>
          <w:szCs w:val="22"/>
        </w:rPr>
      </w:pPr>
    </w:p>
    <w:p w14:paraId="64FBE163" w14:textId="0BB303F2" w:rsidR="005931EF" w:rsidRDefault="005931EF" w:rsidP="005931EF">
      <w:pPr>
        <w:jc w:val="both"/>
        <w:rPr>
          <w:rFonts w:ascii="Times New Roman" w:hAnsi="Times New Roman" w:cs="Times New Roman"/>
          <w:b/>
          <w:sz w:val="22"/>
          <w:szCs w:val="22"/>
        </w:rPr>
      </w:pPr>
      <w:r>
        <w:rPr>
          <w:rFonts w:ascii="Times New Roman" w:hAnsi="Times New Roman" w:cs="Times New Roman"/>
          <w:b/>
          <w:sz w:val="22"/>
          <w:szCs w:val="22"/>
        </w:rPr>
        <w:t>9.3.4 Procedimientos analíticos</w:t>
      </w:r>
    </w:p>
    <w:p w14:paraId="7F786B9E" w14:textId="77777777" w:rsidR="00AD0B06" w:rsidRDefault="00AD0B06" w:rsidP="005931EF">
      <w:pPr>
        <w:jc w:val="both"/>
        <w:rPr>
          <w:rFonts w:ascii="Times New Roman" w:hAnsi="Times New Roman" w:cs="Times New Roman"/>
          <w:sz w:val="22"/>
          <w:szCs w:val="22"/>
        </w:rPr>
      </w:pPr>
    </w:p>
    <w:p w14:paraId="6DAB070B" w14:textId="71D7D0F6" w:rsidR="005931EF" w:rsidRDefault="00BB14BF" w:rsidP="005931EF">
      <w:pPr>
        <w:jc w:val="both"/>
        <w:rPr>
          <w:rFonts w:ascii="Times New Roman" w:hAnsi="Times New Roman" w:cs="Times New Roman"/>
          <w:b/>
          <w:sz w:val="22"/>
          <w:szCs w:val="22"/>
        </w:rPr>
      </w:pPr>
      <w:r>
        <w:rPr>
          <w:rFonts w:ascii="Times New Roman" w:hAnsi="Times New Roman" w:cs="Times New Roman"/>
          <w:sz w:val="22"/>
          <w:szCs w:val="22"/>
        </w:rPr>
        <w:t xml:space="preserve">18. </w:t>
      </w:r>
      <w:r w:rsidR="005931EF" w:rsidRPr="005931EF">
        <w:rPr>
          <w:rFonts w:ascii="Times New Roman" w:hAnsi="Times New Roman" w:cs="Times New Roman"/>
          <w:sz w:val="22"/>
          <w:szCs w:val="22"/>
        </w:rPr>
        <w:t>Los procedimientos analíticos deben ser realizados por el auditor, dichos procedimientos consisten en verificar los datos financieros evaluando las conexiones plausibles entre la información financiera y no financiera. La revisión analítica de los gastos reales incurridos con el presupuesto de la subvención (presupuesto - comparaciones reales) es una verificación de cumplimiento crítica</w:t>
      </w:r>
      <w:r w:rsidR="005931EF" w:rsidRPr="005931EF">
        <w:rPr>
          <w:rFonts w:ascii="Times New Roman" w:hAnsi="Times New Roman" w:cs="Times New Roman"/>
          <w:b/>
          <w:sz w:val="22"/>
          <w:szCs w:val="22"/>
        </w:rPr>
        <w:t>.</w:t>
      </w:r>
    </w:p>
    <w:p w14:paraId="2D12D6A3" w14:textId="06D32DE6" w:rsidR="0081454A" w:rsidRDefault="0081454A" w:rsidP="0081454A">
      <w:pPr>
        <w:jc w:val="both"/>
        <w:rPr>
          <w:rFonts w:ascii="Times New Roman" w:hAnsi="Times New Roman" w:cs="Times New Roman"/>
          <w:sz w:val="22"/>
          <w:szCs w:val="22"/>
        </w:rPr>
      </w:pPr>
    </w:p>
    <w:p w14:paraId="294EBDA6" w14:textId="2784FFD8" w:rsidR="005931EF" w:rsidRDefault="005931EF" w:rsidP="005931EF">
      <w:pPr>
        <w:jc w:val="both"/>
        <w:rPr>
          <w:rFonts w:ascii="Times New Roman" w:hAnsi="Times New Roman" w:cs="Times New Roman"/>
          <w:b/>
          <w:sz w:val="22"/>
          <w:szCs w:val="22"/>
        </w:rPr>
      </w:pPr>
      <w:r>
        <w:rPr>
          <w:rFonts w:ascii="Times New Roman" w:hAnsi="Times New Roman" w:cs="Times New Roman"/>
          <w:b/>
          <w:sz w:val="22"/>
          <w:szCs w:val="22"/>
        </w:rPr>
        <w:t>9.3.5 Uso del trabajo de auditores internos</w:t>
      </w:r>
    </w:p>
    <w:p w14:paraId="6F6F4AFD" w14:textId="77777777" w:rsidR="00AD0B06" w:rsidRDefault="00AD0B06" w:rsidP="005931EF">
      <w:pPr>
        <w:jc w:val="both"/>
        <w:rPr>
          <w:rFonts w:ascii="Times New Roman" w:hAnsi="Times New Roman" w:cs="Times New Roman"/>
          <w:sz w:val="22"/>
          <w:szCs w:val="22"/>
        </w:rPr>
      </w:pPr>
    </w:p>
    <w:p w14:paraId="4710DF5C" w14:textId="5A6BAA40"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 xml:space="preserve">19. </w:t>
      </w:r>
      <w:r w:rsidR="005931EF" w:rsidRPr="005931EF">
        <w:rPr>
          <w:rFonts w:ascii="Times New Roman" w:hAnsi="Times New Roman" w:cs="Times New Roman"/>
          <w:sz w:val="22"/>
          <w:szCs w:val="22"/>
        </w:rPr>
        <w:t>Si es relevante para la auditoría, el auditor debe utilizar la NIA 610 “Uso del trabajo de los auditores internos”. Si el auditor evalúa que se puede confiar en una función de auditoría interna para la asignación, el auditor debe:</w:t>
      </w:r>
    </w:p>
    <w:p w14:paraId="6D55BA44" w14:textId="6799895D"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 xml:space="preserve">   </w:t>
      </w:r>
      <w:r w:rsidR="005931EF" w:rsidRPr="005931EF">
        <w:rPr>
          <w:rFonts w:ascii="Times New Roman" w:hAnsi="Times New Roman" w:cs="Times New Roman"/>
          <w:sz w:val="22"/>
          <w:szCs w:val="22"/>
        </w:rPr>
        <w:t>• Evaluar el trabajo específico del auditor interno y en qué medida dicho trabajo puede considerarse para la auditoría.</w:t>
      </w:r>
    </w:p>
    <w:p w14:paraId="0CD7A77C" w14:textId="0F93B27F" w:rsidR="005931EF" w:rsidRP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 xml:space="preserve">   </w:t>
      </w:r>
      <w:r w:rsidR="005931EF" w:rsidRPr="005931EF">
        <w:rPr>
          <w:rFonts w:ascii="Times New Roman" w:hAnsi="Times New Roman" w:cs="Times New Roman"/>
          <w:sz w:val="22"/>
          <w:szCs w:val="22"/>
        </w:rPr>
        <w:t>• Evaluar si el trabajo de auditoría interna es adecuado para el objetivo de la auditoría.</w:t>
      </w:r>
    </w:p>
    <w:p w14:paraId="4840FF5C" w14:textId="77777777" w:rsidR="005931EF" w:rsidRPr="005931EF" w:rsidRDefault="005931EF" w:rsidP="005931EF">
      <w:pPr>
        <w:jc w:val="both"/>
        <w:rPr>
          <w:rFonts w:ascii="Times New Roman" w:hAnsi="Times New Roman" w:cs="Times New Roman"/>
          <w:sz w:val="22"/>
          <w:szCs w:val="22"/>
        </w:rPr>
      </w:pPr>
    </w:p>
    <w:p w14:paraId="3457BC10" w14:textId="5BDDEC76" w:rsidR="005931EF" w:rsidRDefault="00BB14BF" w:rsidP="005931EF">
      <w:pPr>
        <w:jc w:val="both"/>
        <w:rPr>
          <w:rFonts w:ascii="Times New Roman" w:hAnsi="Times New Roman" w:cs="Times New Roman"/>
          <w:sz w:val="22"/>
          <w:szCs w:val="22"/>
        </w:rPr>
      </w:pPr>
      <w:r>
        <w:rPr>
          <w:rFonts w:ascii="Times New Roman" w:hAnsi="Times New Roman" w:cs="Times New Roman"/>
          <w:sz w:val="22"/>
          <w:szCs w:val="22"/>
        </w:rPr>
        <w:t>20</w:t>
      </w:r>
      <w:r w:rsidR="005931EF" w:rsidRPr="005931EF">
        <w:rPr>
          <w:rFonts w:ascii="Times New Roman" w:hAnsi="Times New Roman" w:cs="Times New Roman"/>
          <w:sz w:val="22"/>
          <w:szCs w:val="22"/>
        </w:rPr>
        <w:t>. Cuando el Receptor Principal tiene una función de auditoría interna y el auditor no confía en ella, se le pedirá al Auditor que proporcione recomendaciones para mejorar la función de auditoría interna en una sección específica en la carta de gestión.</w:t>
      </w:r>
    </w:p>
    <w:p w14:paraId="6BC55D48" w14:textId="37CF88B6" w:rsidR="00BB14BF" w:rsidRDefault="00BB14BF" w:rsidP="005931EF">
      <w:pPr>
        <w:jc w:val="both"/>
        <w:rPr>
          <w:rFonts w:ascii="Times New Roman" w:hAnsi="Times New Roman" w:cs="Times New Roman"/>
          <w:sz w:val="22"/>
          <w:szCs w:val="22"/>
        </w:rPr>
      </w:pPr>
    </w:p>
    <w:p w14:paraId="007A277C" w14:textId="473D856E" w:rsidR="00BB14BF" w:rsidRDefault="00BB14BF" w:rsidP="00BB14BF">
      <w:pPr>
        <w:jc w:val="both"/>
        <w:rPr>
          <w:rFonts w:ascii="Times New Roman" w:hAnsi="Times New Roman" w:cs="Times New Roman"/>
          <w:b/>
          <w:sz w:val="22"/>
          <w:szCs w:val="22"/>
        </w:rPr>
      </w:pPr>
      <w:r>
        <w:rPr>
          <w:rFonts w:ascii="Times New Roman" w:hAnsi="Times New Roman" w:cs="Times New Roman"/>
          <w:b/>
          <w:sz w:val="22"/>
          <w:szCs w:val="22"/>
        </w:rPr>
        <w:t>9.3.6 Uso del trabajo de un experto</w:t>
      </w:r>
    </w:p>
    <w:p w14:paraId="430E1AA4" w14:textId="77777777" w:rsidR="00AD0B06" w:rsidRDefault="00AD0B06" w:rsidP="00BB14BF">
      <w:pPr>
        <w:jc w:val="both"/>
        <w:rPr>
          <w:rFonts w:ascii="Times New Roman" w:hAnsi="Times New Roman" w:cs="Times New Roman"/>
          <w:sz w:val="22"/>
          <w:szCs w:val="22"/>
        </w:rPr>
      </w:pPr>
    </w:p>
    <w:p w14:paraId="2FBC747A" w14:textId="3556191C" w:rsidR="00BB14BF" w:rsidRDefault="00BB14BF" w:rsidP="00BB14BF">
      <w:pPr>
        <w:jc w:val="both"/>
        <w:rPr>
          <w:rFonts w:ascii="Times New Roman" w:hAnsi="Times New Roman" w:cs="Times New Roman"/>
          <w:sz w:val="22"/>
          <w:szCs w:val="22"/>
        </w:rPr>
      </w:pPr>
      <w:r>
        <w:rPr>
          <w:rFonts w:ascii="Times New Roman" w:hAnsi="Times New Roman" w:cs="Times New Roman"/>
          <w:sz w:val="22"/>
          <w:szCs w:val="22"/>
        </w:rPr>
        <w:t xml:space="preserve">21. </w:t>
      </w:r>
      <w:r w:rsidRPr="00BB14BF">
        <w:rPr>
          <w:rFonts w:ascii="Times New Roman" w:hAnsi="Times New Roman" w:cs="Times New Roman"/>
          <w:sz w:val="22"/>
          <w:szCs w:val="22"/>
        </w:rPr>
        <w:t>El Auditor puede utilizar el trabajo de una persona u organización que presente una experiencia en un campo distinto de la contabilidad o la auditoría, que sea necesario para obtener evidencia suficiente para llegar a su conclusión. El auditor debe cumplir con la NIA 620 (Uso del trabajo de un experto del auditor) en la medida en que esta NIA sea relevante para la auditoría.</w:t>
      </w:r>
    </w:p>
    <w:p w14:paraId="4C2AAEC1" w14:textId="6321E88E" w:rsidR="00BB14BF" w:rsidRDefault="00BB14BF" w:rsidP="00BB14BF">
      <w:pPr>
        <w:jc w:val="both"/>
        <w:rPr>
          <w:rFonts w:ascii="Times New Roman" w:hAnsi="Times New Roman" w:cs="Times New Roman"/>
          <w:sz w:val="22"/>
          <w:szCs w:val="22"/>
        </w:rPr>
      </w:pPr>
    </w:p>
    <w:p w14:paraId="0CFC5866" w14:textId="20CB2157" w:rsidR="00BB14BF" w:rsidRDefault="00BB14BF" w:rsidP="00BB14BF">
      <w:pPr>
        <w:jc w:val="both"/>
        <w:rPr>
          <w:rFonts w:ascii="Times New Roman" w:hAnsi="Times New Roman" w:cs="Times New Roman"/>
          <w:b/>
          <w:sz w:val="22"/>
          <w:szCs w:val="22"/>
        </w:rPr>
      </w:pPr>
      <w:r>
        <w:rPr>
          <w:rFonts w:ascii="Times New Roman" w:hAnsi="Times New Roman" w:cs="Times New Roman"/>
          <w:b/>
          <w:sz w:val="22"/>
          <w:szCs w:val="22"/>
        </w:rPr>
        <w:t>9.3.7 Manifestaciones escritas</w:t>
      </w:r>
    </w:p>
    <w:p w14:paraId="0F286164" w14:textId="77777777" w:rsidR="00AD0B06" w:rsidRDefault="00AD0B06" w:rsidP="00BB14BF">
      <w:pPr>
        <w:jc w:val="both"/>
        <w:rPr>
          <w:rFonts w:ascii="Times New Roman" w:hAnsi="Times New Roman" w:cs="Times New Roman"/>
          <w:sz w:val="22"/>
          <w:szCs w:val="22"/>
        </w:rPr>
      </w:pPr>
    </w:p>
    <w:p w14:paraId="2BCAD821" w14:textId="1D8EED0A" w:rsidR="00BB14BF" w:rsidRDefault="00BB14BF" w:rsidP="00BB14BF">
      <w:pPr>
        <w:jc w:val="both"/>
        <w:rPr>
          <w:rFonts w:ascii="Times New Roman" w:hAnsi="Times New Roman" w:cs="Times New Roman"/>
          <w:sz w:val="22"/>
          <w:szCs w:val="22"/>
        </w:rPr>
      </w:pPr>
      <w:r>
        <w:rPr>
          <w:rFonts w:ascii="Times New Roman" w:hAnsi="Times New Roman" w:cs="Times New Roman"/>
          <w:sz w:val="22"/>
          <w:szCs w:val="22"/>
        </w:rPr>
        <w:t xml:space="preserve">22. </w:t>
      </w:r>
      <w:r w:rsidRPr="00BB14BF">
        <w:rPr>
          <w:rFonts w:ascii="Times New Roman" w:hAnsi="Times New Roman" w:cs="Times New Roman"/>
          <w:sz w:val="22"/>
          <w:szCs w:val="22"/>
        </w:rPr>
        <w:t>De acuerdo con el requisito estándar, es decir, ISA 580- Declaraciones escritas, la Administración del Receptor Principal debe proporcionar al Auditor una carta de representación escrita. El Auditor debe solicitar una carta de representación firmada por el (los) miembro (s) de la gerencia del Receptor Principal que tiene la responsabilidad principal de la Subvención y sus aspectos financieros.</w:t>
      </w:r>
    </w:p>
    <w:p w14:paraId="109E7594" w14:textId="5A57C157" w:rsidR="00BB14BF" w:rsidRDefault="00BB14BF" w:rsidP="00BB14BF">
      <w:pPr>
        <w:jc w:val="both"/>
        <w:rPr>
          <w:rFonts w:ascii="Times New Roman" w:hAnsi="Times New Roman" w:cs="Times New Roman"/>
          <w:sz w:val="22"/>
          <w:szCs w:val="22"/>
        </w:rPr>
      </w:pPr>
    </w:p>
    <w:p w14:paraId="437F8E07" w14:textId="7FC76945" w:rsidR="00BB14BF" w:rsidRDefault="00BB14BF" w:rsidP="00BB14BF">
      <w:pPr>
        <w:jc w:val="both"/>
        <w:rPr>
          <w:rFonts w:ascii="Times New Roman" w:hAnsi="Times New Roman" w:cs="Times New Roman"/>
          <w:b/>
          <w:sz w:val="22"/>
          <w:szCs w:val="22"/>
        </w:rPr>
      </w:pPr>
      <w:r>
        <w:rPr>
          <w:rFonts w:ascii="Times New Roman" w:hAnsi="Times New Roman" w:cs="Times New Roman"/>
          <w:b/>
          <w:sz w:val="22"/>
          <w:szCs w:val="22"/>
        </w:rPr>
        <w:t>9.3.8 Carta complementaria</w:t>
      </w:r>
    </w:p>
    <w:p w14:paraId="36EA8E94" w14:textId="77777777" w:rsidR="00AD0B06" w:rsidRDefault="00AD0B06" w:rsidP="00BB14BF">
      <w:pPr>
        <w:jc w:val="both"/>
        <w:rPr>
          <w:rFonts w:ascii="Times New Roman" w:hAnsi="Times New Roman" w:cs="Times New Roman"/>
          <w:sz w:val="22"/>
          <w:szCs w:val="22"/>
        </w:rPr>
      </w:pPr>
    </w:p>
    <w:p w14:paraId="7BA49E61" w14:textId="66A73008" w:rsidR="00BB14BF" w:rsidRPr="00BB14BF" w:rsidRDefault="00BB14BF" w:rsidP="00BB14BF">
      <w:pPr>
        <w:jc w:val="both"/>
        <w:rPr>
          <w:rFonts w:ascii="Times New Roman" w:hAnsi="Times New Roman" w:cs="Times New Roman"/>
          <w:sz w:val="22"/>
          <w:szCs w:val="22"/>
        </w:rPr>
      </w:pPr>
      <w:r>
        <w:rPr>
          <w:rFonts w:ascii="Times New Roman" w:hAnsi="Times New Roman" w:cs="Times New Roman"/>
          <w:sz w:val="22"/>
          <w:szCs w:val="22"/>
        </w:rPr>
        <w:t xml:space="preserve">23. </w:t>
      </w:r>
      <w:r w:rsidRPr="00BB14BF">
        <w:rPr>
          <w:rFonts w:ascii="Times New Roman" w:hAnsi="Times New Roman" w:cs="Times New Roman"/>
          <w:sz w:val="22"/>
          <w:szCs w:val="22"/>
        </w:rPr>
        <w:t>El Auditor podrá en cualquier momento durante el proceso de auditoría redactar una carta complementaria si considera que el Fondo Mundial debe ser consciente de hechos y cuestiones que son urgentes, muy inusuales o de particular interés e importancia para el Fondo Mundial. .</w:t>
      </w:r>
    </w:p>
    <w:p w14:paraId="755CDDFB" w14:textId="77777777" w:rsidR="00BB14BF" w:rsidRPr="00BB14BF" w:rsidRDefault="00BB14BF" w:rsidP="00BB14BF">
      <w:pPr>
        <w:jc w:val="both"/>
        <w:rPr>
          <w:rFonts w:ascii="Times New Roman" w:hAnsi="Times New Roman" w:cs="Times New Roman"/>
          <w:sz w:val="22"/>
          <w:szCs w:val="22"/>
        </w:rPr>
      </w:pPr>
    </w:p>
    <w:p w14:paraId="201E6EDC" w14:textId="22E9DFA9" w:rsidR="00BB14BF" w:rsidRPr="00BB14BF" w:rsidRDefault="00BB14BF" w:rsidP="00BB14BF">
      <w:pPr>
        <w:jc w:val="both"/>
        <w:rPr>
          <w:rFonts w:ascii="Times New Roman" w:hAnsi="Times New Roman" w:cs="Times New Roman"/>
          <w:sz w:val="22"/>
          <w:szCs w:val="22"/>
        </w:rPr>
      </w:pPr>
      <w:r>
        <w:rPr>
          <w:rFonts w:ascii="Times New Roman" w:hAnsi="Times New Roman" w:cs="Times New Roman"/>
          <w:sz w:val="22"/>
          <w:szCs w:val="22"/>
        </w:rPr>
        <w:t>24</w:t>
      </w:r>
      <w:r w:rsidRPr="00BB14BF">
        <w:rPr>
          <w:rFonts w:ascii="Times New Roman" w:hAnsi="Times New Roman" w:cs="Times New Roman"/>
          <w:sz w:val="22"/>
          <w:szCs w:val="22"/>
        </w:rPr>
        <w:t>. Por ejemplo, este podría ser el caso de cualquier fraude o irregularidad que haya ocurrido o que pueda ocurrir. El Fondo Mundial decidirá las medidas de seguimiento, incluido, cuando corresponda, el inicio de una investigación por parte de su Oficina del Inspector General.</w:t>
      </w:r>
    </w:p>
    <w:p w14:paraId="73A109BC" w14:textId="77777777" w:rsidR="00BB14BF" w:rsidRPr="00BB14BF" w:rsidRDefault="00BB14BF" w:rsidP="00BB14BF">
      <w:pPr>
        <w:jc w:val="both"/>
        <w:rPr>
          <w:rFonts w:ascii="Times New Roman" w:hAnsi="Times New Roman" w:cs="Times New Roman"/>
          <w:sz w:val="22"/>
          <w:szCs w:val="22"/>
        </w:rPr>
      </w:pPr>
    </w:p>
    <w:p w14:paraId="1F56875D" w14:textId="3FA2D13A" w:rsidR="00BB14BF" w:rsidRDefault="00BB14BF" w:rsidP="00BB14BF">
      <w:pPr>
        <w:jc w:val="both"/>
        <w:rPr>
          <w:rFonts w:ascii="Times New Roman" w:hAnsi="Times New Roman" w:cs="Times New Roman"/>
          <w:b/>
          <w:sz w:val="22"/>
          <w:szCs w:val="22"/>
        </w:rPr>
      </w:pPr>
      <w:r>
        <w:rPr>
          <w:rFonts w:ascii="Times New Roman" w:hAnsi="Times New Roman" w:cs="Times New Roman"/>
          <w:b/>
          <w:sz w:val="22"/>
          <w:szCs w:val="22"/>
        </w:rPr>
        <w:t>9.3.9 Memorando de información</w:t>
      </w:r>
    </w:p>
    <w:p w14:paraId="32C340AE" w14:textId="77777777" w:rsidR="00AD0B06" w:rsidRDefault="00AD0B06" w:rsidP="00BB14BF">
      <w:pPr>
        <w:jc w:val="both"/>
        <w:rPr>
          <w:rFonts w:ascii="Times New Roman" w:hAnsi="Times New Roman" w:cs="Times New Roman"/>
          <w:sz w:val="22"/>
          <w:szCs w:val="22"/>
        </w:rPr>
      </w:pPr>
    </w:p>
    <w:p w14:paraId="64417FB3" w14:textId="60DA5387" w:rsidR="00BB14BF" w:rsidRDefault="00BB14BF" w:rsidP="00BB14BF">
      <w:pPr>
        <w:jc w:val="both"/>
        <w:rPr>
          <w:rFonts w:ascii="Times New Roman" w:hAnsi="Times New Roman" w:cs="Times New Roman"/>
          <w:sz w:val="22"/>
          <w:szCs w:val="22"/>
        </w:rPr>
      </w:pPr>
      <w:r w:rsidRPr="00BB14BF">
        <w:rPr>
          <w:rFonts w:ascii="Times New Roman" w:hAnsi="Times New Roman" w:cs="Times New Roman"/>
          <w:sz w:val="22"/>
          <w:szCs w:val="22"/>
        </w:rPr>
        <w:t>25.</w:t>
      </w:r>
      <w:r w:rsidRPr="00BB14BF">
        <w:t xml:space="preserve"> </w:t>
      </w:r>
      <w:r w:rsidRPr="00BB14BF">
        <w:rPr>
          <w:rFonts w:ascii="Times New Roman" w:hAnsi="Times New Roman" w:cs="Times New Roman"/>
          <w:sz w:val="22"/>
          <w:szCs w:val="22"/>
        </w:rPr>
        <w:t>El Auditor redactará un memorando de informe para la reunión de cierre que proporcionará los principales hallazgos para la discusión. El Receptor Principal debe enviar una copia del memorando o informe preliminar al Fondo Mundia</w:t>
      </w:r>
      <w:r>
        <w:rPr>
          <w:rFonts w:ascii="Times New Roman" w:hAnsi="Times New Roman" w:cs="Times New Roman"/>
          <w:sz w:val="22"/>
          <w:szCs w:val="22"/>
        </w:rPr>
        <w:t>l</w:t>
      </w:r>
    </w:p>
    <w:p w14:paraId="199F0248" w14:textId="5FA9363D" w:rsidR="00BB14BF" w:rsidRDefault="00BB14BF" w:rsidP="00BB14BF">
      <w:pPr>
        <w:jc w:val="both"/>
        <w:rPr>
          <w:rFonts w:ascii="Times New Roman" w:hAnsi="Times New Roman" w:cs="Times New Roman"/>
          <w:sz w:val="22"/>
          <w:szCs w:val="22"/>
        </w:rPr>
      </w:pPr>
    </w:p>
    <w:p w14:paraId="24B461D7" w14:textId="5AC94393" w:rsidR="00BB14BF" w:rsidRDefault="00BB14BF" w:rsidP="00BB14BF">
      <w:pPr>
        <w:jc w:val="both"/>
        <w:rPr>
          <w:rFonts w:ascii="Times New Roman" w:hAnsi="Times New Roman" w:cs="Times New Roman"/>
          <w:b/>
          <w:sz w:val="22"/>
          <w:szCs w:val="22"/>
        </w:rPr>
      </w:pPr>
      <w:r>
        <w:rPr>
          <w:rFonts w:ascii="Times New Roman" w:hAnsi="Times New Roman" w:cs="Times New Roman"/>
          <w:b/>
          <w:sz w:val="22"/>
          <w:szCs w:val="22"/>
        </w:rPr>
        <w:lastRenderedPageBreak/>
        <w:t>9.3.10 Reunión de salida de auditoría en el país</w:t>
      </w:r>
    </w:p>
    <w:p w14:paraId="06872167" w14:textId="77777777" w:rsidR="00AD0B06" w:rsidRDefault="00AD0B06" w:rsidP="00BB14BF">
      <w:pPr>
        <w:jc w:val="both"/>
        <w:rPr>
          <w:rFonts w:ascii="Times New Roman" w:hAnsi="Times New Roman" w:cs="Times New Roman"/>
          <w:sz w:val="22"/>
          <w:szCs w:val="22"/>
        </w:rPr>
      </w:pPr>
    </w:p>
    <w:p w14:paraId="52F491AF" w14:textId="3F7855FA" w:rsidR="00BB14BF" w:rsidRPr="00BB14BF" w:rsidRDefault="00BB14BF" w:rsidP="00BB14BF">
      <w:pPr>
        <w:jc w:val="both"/>
        <w:rPr>
          <w:rFonts w:ascii="Times New Roman" w:hAnsi="Times New Roman" w:cs="Times New Roman"/>
          <w:sz w:val="22"/>
          <w:szCs w:val="22"/>
        </w:rPr>
      </w:pPr>
      <w:r w:rsidRPr="00BB14BF">
        <w:rPr>
          <w:rFonts w:ascii="Times New Roman" w:hAnsi="Times New Roman" w:cs="Times New Roman"/>
          <w:sz w:val="22"/>
          <w:szCs w:val="22"/>
        </w:rPr>
        <w:t>26.</w:t>
      </w:r>
      <w:r w:rsidRPr="00BB14BF">
        <w:t xml:space="preserve"> </w:t>
      </w:r>
      <w:r w:rsidRPr="00BB14BF">
        <w:rPr>
          <w:rFonts w:ascii="Times New Roman" w:hAnsi="Times New Roman" w:cs="Times New Roman"/>
          <w:sz w:val="22"/>
          <w:szCs w:val="22"/>
        </w:rPr>
        <w:t>El Auditor debería organizar una reunión de cierre con el Receptor Principal. El propósito de esta reunión es discutir el memorando de información y obtener la confirmación y los comentarios iniciales del Receptor Principal sobre los hallazgos y recomendaciones del Auditor. El Auditor y el Receptor Principal pueden acordar que la información pendiente sea proporcionada por el Receptor Principal y, cuando corresponda, una fecha límite para la presentación.</w:t>
      </w:r>
    </w:p>
    <w:p w14:paraId="0B85CA88" w14:textId="77777777" w:rsidR="00BB14BF" w:rsidRPr="00BB14BF" w:rsidRDefault="00BB14BF" w:rsidP="00BB14BF">
      <w:pPr>
        <w:jc w:val="both"/>
        <w:rPr>
          <w:rFonts w:ascii="Times New Roman" w:hAnsi="Times New Roman" w:cs="Times New Roman"/>
          <w:sz w:val="22"/>
          <w:szCs w:val="22"/>
        </w:rPr>
      </w:pPr>
    </w:p>
    <w:p w14:paraId="76323F35" w14:textId="2EBD6734" w:rsidR="00BB14BF" w:rsidRPr="00BB14BF" w:rsidRDefault="00BB14BF" w:rsidP="00BB14BF">
      <w:pPr>
        <w:jc w:val="both"/>
        <w:rPr>
          <w:rFonts w:ascii="Times New Roman" w:hAnsi="Times New Roman" w:cs="Times New Roman"/>
          <w:sz w:val="22"/>
          <w:szCs w:val="22"/>
        </w:rPr>
      </w:pPr>
      <w:r>
        <w:rPr>
          <w:rFonts w:ascii="Times New Roman" w:hAnsi="Times New Roman" w:cs="Times New Roman"/>
          <w:sz w:val="22"/>
          <w:szCs w:val="22"/>
        </w:rPr>
        <w:t>27</w:t>
      </w:r>
      <w:r w:rsidRPr="00BB14BF">
        <w:rPr>
          <w:rFonts w:ascii="Times New Roman" w:hAnsi="Times New Roman" w:cs="Times New Roman"/>
          <w:sz w:val="22"/>
          <w:szCs w:val="22"/>
        </w:rPr>
        <w:t xml:space="preserve">. A solicitud del Equipo de País del Fondo Mundial, el auditor también informará al mecanismo de coordinación de país sobre la conclusión de la auditoría. El Agente del Fondo Local también debe ser invitado a participar en esta reunión, a solicitud del Fondo Mundial. Para los países Enfocados, la asistencia al ALF es obligatoria. </w:t>
      </w:r>
    </w:p>
    <w:p w14:paraId="7992A6DC" w14:textId="77777777" w:rsidR="00BB14BF" w:rsidRPr="00BB14BF" w:rsidRDefault="00BB14BF" w:rsidP="00BB14BF">
      <w:pPr>
        <w:jc w:val="both"/>
        <w:rPr>
          <w:rFonts w:ascii="Times New Roman" w:hAnsi="Times New Roman" w:cs="Times New Roman"/>
          <w:sz w:val="22"/>
          <w:szCs w:val="22"/>
        </w:rPr>
      </w:pPr>
    </w:p>
    <w:p w14:paraId="26E38227" w14:textId="77777777" w:rsidR="00BB14BF" w:rsidRPr="00BB14BF" w:rsidRDefault="00BB14BF" w:rsidP="00BB14BF">
      <w:pPr>
        <w:jc w:val="both"/>
        <w:rPr>
          <w:rFonts w:ascii="Times New Roman" w:hAnsi="Times New Roman" w:cs="Times New Roman"/>
          <w:sz w:val="22"/>
          <w:szCs w:val="22"/>
        </w:rPr>
      </w:pPr>
    </w:p>
    <w:p w14:paraId="6C42E972" w14:textId="748153DC" w:rsidR="00BB14BF" w:rsidRPr="00077A67" w:rsidRDefault="00BB14BF" w:rsidP="00BB14BF">
      <w:pPr>
        <w:jc w:val="both"/>
        <w:rPr>
          <w:rFonts w:ascii="Times New Roman" w:hAnsi="Times New Roman" w:cs="Times New Roman"/>
          <w:b/>
          <w:bCs/>
          <w:sz w:val="22"/>
          <w:szCs w:val="22"/>
        </w:rPr>
      </w:pPr>
      <w:r>
        <w:rPr>
          <w:rFonts w:ascii="Times New Roman" w:hAnsi="Times New Roman" w:cs="Times New Roman"/>
          <w:b/>
          <w:bCs/>
          <w:sz w:val="22"/>
          <w:szCs w:val="22"/>
        </w:rPr>
        <w:t>10</w:t>
      </w:r>
      <w:r w:rsidRPr="00077A67">
        <w:rPr>
          <w:rFonts w:ascii="Times New Roman" w:hAnsi="Times New Roman" w:cs="Times New Roman"/>
          <w:b/>
          <w:bCs/>
          <w:sz w:val="22"/>
          <w:szCs w:val="22"/>
        </w:rPr>
        <w:t xml:space="preserve">. </w:t>
      </w:r>
      <w:r>
        <w:rPr>
          <w:rFonts w:ascii="Times New Roman" w:hAnsi="Times New Roman" w:cs="Times New Roman"/>
          <w:b/>
          <w:bCs/>
          <w:sz w:val="22"/>
          <w:szCs w:val="22"/>
        </w:rPr>
        <w:t>Informe de Auditoría y lenguaje</w:t>
      </w:r>
    </w:p>
    <w:p w14:paraId="6E948C1F" w14:textId="4EDF93FA" w:rsidR="0081454A" w:rsidRDefault="0081454A" w:rsidP="0081454A">
      <w:pPr>
        <w:jc w:val="both"/>
        <w:rPr>
          <w:rFonts w:ascii="Times New Roman" w:hAnsi="Times New Roman" w:cs="Times New Roman"/>
          <w:sz w:val="22"/>
          <w:szCs w:val="22"/>
        </w:rPr>
      </w:pPr>
    </w:p>
    <w:p w14:paraId="693B4B2C" w14:textId="21EF03E5" w:rsidR="00364B08" w:rsidRPr="00364B08" w:rsidRDefault="00364B08" w:rsidP="00364B08">
      <w:pPr>
        <w:jc w:val="both"/>
        <w:rPr>
          <w:rFonts w:ascii="Times New Roman" w:hAnsi="Times New Roman" w:cs="Times New Roman"/>
          <w:sz w:val="22"/>
          <w:szCs w:val="22"/>
        </w:rPr>
      </w:pPr>
      <w:r>
        <w:rPr>
          <w:rFonts w:ascii="Times New Roman" w:hAnsi="Times New Roman" w:cs="Times New Roman"/>
          <w:sz w:val="22"/>
          <w:szCs w:val="22"/>
        </w:rPr>
        <w:t xml:space="preserve">28. </w:t>
      </w:r>
      <w:r w:rsidRPr="00364B08">
        <w:rPr>
          <w:rFonts w:ascii="Times New Roman" w:hAnsi="Times New Roman" w:cs="Times New Roman"/>
          <w:sz w:val="22"/>
          <w:szCs w:val="22"/>
        </w:rPr>
        <w:t>Al preparar el informe de auditoría para cada subvención, el Auditor debe cumplir con la plantilla de informe de auditoría financiera proporcionada en el Anexo 1 de las directrices de auditoría. El Auditor emitirá:</w:t>
      </w:r>
    </w:p>
    <w:p w14:paraId="22BFB878" w14:textId="77777777" w:rsidR="00364B08" w:rsidRPr="00364B08" w:rsidRDefault="00364B08" w:rsidP="00364B08">
      <w:pPr>
        <w:jc w:val="both"/>
        <w:rPr>
          <w:rFonts w:ascii="Times New Roman" w:hAnsi="Times New Roman" w:cs="Times New Roman"/>
          <w:sz w:val="22"/>
          <w:szCs w:val="22"/>
        </w:rPr>
      </w:pPr>
      <w:r w:rsidRPr="00364B08">
        <w:rPr>
          <w:rFonts w:ascii="Times New Roman" w:hAnsi="Times New Roman" w:cs="Times New Roman"/>
          <w:sz w:val="22"/>
          <w:szCs w:val="22"/>
        </w:rPr>
        <w:t>• una opinión sobre los estados financieros consolidados de acuerdo con ISA o ISSAI.</w:t>
      </w:r>
    </w:p>
    <w:p w14:paraId="30149322" w14:textId="77777777" w:rsidR="00364B08" w:rsidRPr="00364B08" w:rsidRDefault="00364B08" w:rsidP="00364B08">
      <w:pPr>
        <w:jc w:val="both"/>
        <w:rPr>
          <w:rFonts w:ascii="Times New Roman" w:hAnsi="Times New Roman" w:cs="Times New Roman"/>
          <w:sz w:val="22"/>
          <w:szCs w:val="22"/>
        </w:rPr>
      </w:pPr>
      <w:r w:rsidRPr="00364B08">
        <w:rPr>
          <w:rFonts w:ascii="Times New Roman" w:hAnsi="Times New Roman" w:cs="Times New Roman"/>
          <w:sz w:val="22"/>
          <w:szCs w:val="22"/>
        </w:rPr>
        <w:t>• una opinión sobre el cumplimiento por parte del implementador del acuerdo de subvención de acuerdo con ISA o ISSAI</w:t>
      </w:r>
    </w:p>
    <w:p w14:paraId="13074E5F" w14:textId="77777777" w:rsidR="00AD0B06" w:rsidRDefault="00AD0B06" w:rsidP="00364B08">
      <w:pPr>
        <w:jc w:val="both"/>
        <w:rPr>
          <w:rFonts w:ascii="Times New Roman" w:hAnsi="Times New Roman" w:cs="Times New Roman"/>
          <w:sz w:val="22"/>
          <w:szCs w:val="22"/>
        </w:rPr>
      </w:pPr>
    </w:p>
    <w:p w14:paraId="723CAEAA" w14:textId="74A5ADBE" w:rsidR="0081454A" w:rsidRPr="00364B08" w:rsidRDefault="00364B08" w:rsidP="00364B08">
      <w:pPr>
        <w:jc w:val="both"/>
        <w:rPr>
          <w:rFonts w:ascii="Times New Roman" w:hAnsi="Times New Roman" w:cs="Times New Roman"/>
          <w:sz w:val="22"/>
          <w:szCs w:val="22"/>
        </w:rPr>
      </w:pPr>
      <w:r>
        <w:rPr>
          <w:rFonts w:ascii="Times New Roman" w:hAnsi="Times New Roman" w:cs="Times New Roman"/>
          <w:sz w:val="22"/>
          <w:szCs w:val="22"/>
        </w:rPr>
        <w:t>29</w:t>
      </w:r>
      <w:r w:rsidRPr="00364B08">
        <w:rPr>
          <w:rFonts w:ascii="Times New Roman" w:hAnsi="Times New Roman" w:cs="Times New Roman"/>
          <w:sz w:val="22"/>
          <w:szCs w:val="22"/>
        </w:rPr>
        <w:t>. El informe de auditoría debe presentarse en uno de los idiomas oficiales del Fondo Mundial, como se</w:t>
      </w:r>
      <w:r w:rsidRPr="00364B08">
        <w:rPr>
          <w:rFonts w:ascii="Times New Roman" w:hAnsi="Times New Roman" w:cs="Times New Roman"/>
          <w:b/>
          <w:sz w:val="22"/>
          <w:szCs w:val="22"/>
        </w:rPr>
        <w:t xml:space="preserve"> </w:t>
      </w:r>
      <w:r w:rsidRPr="00364B08">
        <w:rPr>
          <w:rFonts w:ascii="Times New Roman" w:hAnsi="Times New Roman" w:cs="Times New Roman"/>
          <w:sz w:val="22"/>
          <w:szCs w:val="22"/>
        </w:rPr>
        <w:t>indica en los términos de referencia.</w:t>
      </w:r>
    </w:p>
    <w:p w14:paraId="6E3AD94C" w14:textId="77777777" w:rsidR="00AD0B06" w:rsidRDefault="00AD0B06" w:rsidP="00914CD9">
      <w:pPr>
        <w:jc w:val="both"/>
        <w:rPr>
          <w:rFonts w:ascii="Times New Roman" w:hAnsi="Times New Roman" w:cs="Times New Roman"/>
          <w:b/>
          <w:bCs/>
          <w:sz w:val="22"/>
          <w:szCs w:val="22"/>
        </w:rPr>
      </w:pPr>
    </w:p>
    <w:p w14:paraId="718A569E" w14:textId="58D13DC0" w:rsidR="00364B08" w:rsidRPr="00D60101" w:rsidRDefault="00D60101" w:rsidP="00914CD9">
      <w:pPr>
        <w:jc w:val="both"/>
        <w:rPr>
          <w:rFonts w:ascii="Times New Roman" w:hAnsi="Times New Roman" w:cs="Times New Roman"/>
          <w:b/>
          <w:bCs/>
          <w:sz w:val="22"/>
          <w:szCs w:val="22"/>
        </w:rPr>
      </w:pPr>
      <w:r w:rsidRPr="00D60101">
        <w:rPr>
          <w:rFonts w:ascii="Times New Roman" w:hAnsi="Times New Roman" w:cs="Times New Roman"/>
          <w:b/>
          <w:bCs/>
          <w:sz w:val="22"/>
          <w:szCs w:val="22"/>
        </w:rPr>
        <w:t xml:space="preserve">11. Carta de Gestión </w:t>
      </w:r>
    </w:p>
    <w:p w14:paraId="3E4E10CB" w14:textId="77777777" w:rsidR="00AD0B06" w:rsidRDefault="00AD0B06" w:rsidP="00914CD9">
      <w:pPr>
        <w:jc w:val="both"/>
        <w:rPr>
          <w:rFonts w:ascii="Times New Roman" w:hAnsi="Times New Roman" w:cs="Times New Roman"/>
          <w:sz w:val="22"/>
          <w:szCs w:val="22"/>
        </w:rPr>
      </w:pPr>
    </w:p>
    <w:p w14:paraId="650658A5" w14:textId="58FEB40C" w:rsidR="00D60101" w:rsidRDefault="00D60101" w:rsidP="00914CD9">
      <w:pPr>
        <w:jc w:val="both"/>
        <w:rPr>
          <w:rFonts w:ascii="Times New Roman" w:hAnsi="Times New Roman" w:cs="Times New Roman"/>
          <w:sz w:val="22"/>
          <w:szCs w:val="22"/>
        </w:rPr>
      </w:pPr>
      <w:r>
        <w:rPr>
          <w:rFonts w:ascii="Times New Roman" w:hAnsi="Times New Roman" w:cs="Times New Roman"/>
          <w:sz w:val="22"/>
          <w:szCs w:val="22"/>
        </w:rPr>
        <w:t xml:space="preserve">30. </w:t>
      </w:r>
      <w:r w:rsidRPr="00D60101">
        <w:rPr>
          <w:rFonts w:ascii="Times New Roman" w:hAnsi="Times New Roman" w:cs="Times New Roman"/>
          <w:sz w:val="22"/>
          <w:szCs w:val="22"/>
        </w:rPr>
        <w:t>Además del informe de auditoría, el Auditor preparará una Carta de gestión para cada subvención en la Cartera, consolidando los hallazgos del Receptor Principal y Sub-receptor. La Carta de Gestión no solo debe dar una respuesta a la revisión del control interno sino también al perfil de riesgo financiero de la subvención (Receptor Principal y Sub-receptores clave seleccionados).</w:t>
      </w:r>
    </w:p>
    <w:p w14:paraId="1B64482F" w14:textId="7E33BE32" w:rsidR="00D60101" w:rsidRDefault="00D60101" w:rsidP="00914CD9">
      <w:pPr>
        <w:jc w:val="both"/>
        <w:rPr>
          <w:rFonts w:ascii="Times New Roman" w:hAnsi="Times New Roman" w:cs="Times New Roman"/>
          <w:sz w:val="22"/>
          <w:szCs w:val="22"/>
        </w:rPr>
      </w:pPr>
    </w:p>
    <w:p w14:paraId="22149142" w14:textId="7D9AC1B8" w:rsidR="00D60101" w:rsidRPr="00D60101" w:rsidRDefault="00D60101" w:rsidP="00914CD9">
      <w:pPr>
        <w:jc w:val="both"/>
        <w:rPr>
          <w:rFonts w:ascii="Times New Roman" w:hAnsi="Times New Roman" w:cs="Times New Roman"/>
          <w:b/>
          <w:bCs/>
          <w:sz w:val="22"/>
          <w:szCs w:val="22"/>
        </w:rPr>
      </w:pPr>
      <w:r w:rsidRPr="00D60101">
        <w:rPr>
          <w:rFonts w:ascii="Times New Roman" w:hAnsi="Times New Roman" w:cs="Times New Roman"/>
          <w:b/>
          <w:bCs/>
          <w:sz w:val="22"/>
          <w:szCs w:val="22"/>
        </w:rPr>
        <w:t>11.1 Marco de Control Interno</w:t>
      </w:r>
    </w:p>
    <w:p w14:paraId="3E314E65" w14:textId="77777777" w:rsidR="00AD0B06" w:rsidRDefault="00AD0B06" w:rsidP="00EB3017">
      <w:pPr>
        <w:jc w:val="both"/>
        <w:rPr>
          <w:rFonts w:ascii="Times New Roman" w:hAnsi="Times New Roman" w:cs="Times New Roman"/>
          <w:sz w:val="22"/>
          <w:szCs w:val="22"/>
        </w:rPr>
      </w:pPr>
    </w:p>
    <w:p w14:paraId="266DA90D" w14:textId="65385C14" w:rsidR="00EB3017" w:rsidRPr="00EB3017" w:rsidRDefault="00EB3017" w:rsidP="00EB3017">
      <w:pPr>
        <w:jc w:val="both"/>
        <w:rPr>
          <w:rFonts w:ascii="Times New Roman" w:hAnsi="Times New Roman" w:cs="Times New Roman"/>
          <w:sz w:val="22"/>
          <w:szCs w:val="22"/>
        </w:rPr>
      </w:pPr>
      <w:r>
        <w:rPr>
          <w:rFonts w:ascii="Times New Roman" w:hAnsi="Times New Roman" w:cs="Times New Roman"/>
          <w:sz w:val="22"/>
          <w:szCs w:val="22"/>
        </w:rPr>
        <w:t xml:space="preserve">31. </w:t>
      </w:r>
      <w:r w:rsidRPr="00EB3017">
        <w:rPr>
          <w:rFonts w:ascii="Times New Roman" w:hAnsi="Times New Roman" w:cs="Times New Roman"/>
          <w:sz w:val="22"/>
          <w:szCs w:val="22"/>
        </w:rPr>
        <w:t>La Carta de Gestión debe resaltar las debilidades en el marco de control interno de la subvención señaladas con respecto a los proces</w:t>
      </w:r>
      <w:r>
        <w:rPr>
          <w:rFonts w:ascii="Times New Roman" w:hAnsi="Times New Roman" w:cs="Times New Roman"/>
          <w:sz w:val="22"/>
          <w:szCs w:val="22"/>
        </w:rPr>
        <w:t>os mencionados en el párrafo 8.2</w:t>
      </w:r>
      <w:r w:rsidRPr="00EB3017">
        <w:rPr>
          <w:rFonts w:ascii="Times New Roman" w:hAnsi="Times New Roman" w:cs="Times New Roman"/>
          <w:sz w:val="22"/>
          <w:szCs w:val="22"/>
        </w:rPr>
        <w:t xml:space="preserve"> de estos Términos de Referencia. Para cada debilidad, se solicita al auditor que proporcione una recomendación. En el caso de los países de impacto central y alto que tengan una auditoría intermedia, se emitirá una carta de gestión sobre el marco de control interno.</w:t>
      </w:r>
    </w:p>
    <w:p w14:paraId="0CAAE62C" w14:textId="77777777" w:rsidR="00AD0B06" w:rsidRDefault="00AD0B06" w:rsidP="00EB3017">
      <w:pPr>
        <w:jc w:val="both"/>
        <w:rPr>
          <w:rFonts w:ascii="Times New Roman" w:hAnsi="Times New Roman" w:cs="Times New Roman"/>
          <w:sz w:val="22"/>
          <w:szCs w:val="22"/>
        </w:rPr>
      </w:pPr>
    </w:p>
    <w:p w14:paraId="48BA5DD7" w14:textId="6623F640" w:rsidR="00D60101" w:rsidRDefault="00EB3017" w:rsidP="00EB3017">
      <w:pPr>
        <w:jc w:val="both"/>
        <w:rPr>
          <w:rFonts w:ascii="Times New Roman" w:hAnsi="Times New Roman" w:cs="Times New Roman"/>
          <w:sz w:val="22"/>
          <w:szCs w:val="22"/>
        </w:rPr>
      </w:pPr>
      <w:r>
        <w:rPr>
          <w:rFonts w:ascii="Times New Roman" w:hAnsi="Times New Roman" w:cs="Times New Roman"/>
          <w:sz w:val="22"/>
          <w:szCs w:val="22"/>
        </w:rPr>
        <w:t>32</w:t>
      </w:r>
      <w:r w:rsidRPr="00EB3017">
        <w:rPr>
          <w:rFonts w:ascii="Times New Roman" w:hAnsi="Times New Roman" w:cs="Times New Roman"/>
          <w:sz w:val="22"/>
          <w:szCs w:val="22"/>
        </w:rPr>
        <w:t>. El Auditor debe comentar los casos de incumplimiento en los registros, procedimientos, sistemas y controles contables que se identificaron durante el curso de la auditoría, con especial referencia a los gastos no elegibles y las debilidades sistemáticas.</w:t>
      </w:r>
    </w:p>
    <w:p w14:paraId="7495ACC5" w14:textId="77777777" w:rsidR="00EB3017" w:rsidRDefault="00EB3017" w:rsidP="00EB3017">
      <w:pPr>
        <w:jc w:val="both"/>
        <w:rPr>
          <w:rFonts w:ascii="Times New Roman" w:hAnsi="Times New Roman" w:cs="Times New Roman"/>
          <w:sz w:val="22"/>
          <w:szCs w:val="22"/>
        </w:rPr>
      </w:pPr>
    </w:p>
    <w:p w14:paraId="0107721F" w14:textId="344091A7" w:rsidR="00EB3017" w:rsidRDefault="00EB3017" w:rsidP="00914CD9">
      <w:pPr>
        <w:jc w:val="both"/>
        <w:rPr>
          <w:rFonts w:ascii="Times New Roman" w:hAnsi="Times New Roman" w:cs="Times New Roman"/>
          <w:sz w:val="22"/>
          <w:szCs w:val="22"/>
        </w:rPr>
      </w:pPr>
      <w:r>
        <w:rPr>
          <w:rFonts w:ascii="Times New Roman" w:hAnsi="Times New Roman" w:cs="Times New Roman"/>
          <w:sz w:val="22"/>
          <w:szCs w:val="22"/>
        </w:rPr>
        <w:t xml:space="preserve">33. </w:t>
      </w:r>
      <w:r w:rsidRPr="00EB3017">
        <w:rPr>
          <w:rFonts w:ascii="Times New Roman" w:hAnsi="Times New Roman" w:cs="Times New Roman"/>
          <w:sz w:val="22"/>
          <w:szCs w:val="22"/>
        </w:rPr>
        <w:t>El Auditor debe comunicar los asuntos que hayan llamado su atención durante la auditoría y que puedan tener un impacto significativo en la implementación y sostenibilidad del programa de subvenciones en la carta de gestión, que deberá incluir las siguientes cinco secciones como mínimo:</w:t>
      </w:r>
    </w:p>
    <w:p w14:paraId="2C2074C8" w14:textId="4B41E4A5" w:rsidR="00EB3017" w:rsidRDefault="00EB3017" w:rsidP="00914CD9">
      <w:pPr>
        <w:jc w:val="both"/>
        <w:rPr>
          <w:rFonts w:ascii="Times New Roman" w:hAnsi="Times New Roman" w:cs="Times New Roman"/>
          <w:sz w:val="22"/>
          <w:szCs w:val="22"/>
        </w:rPr>
      </w:pPr>
    </w:p>
    <w:p w14:paraId="39ED5A38" w14:textId="0D55E9C4" w:rsidR="00EB3017" w:rsidRPr="00EB3017" w:rsidRDefault="00EB3017" w:rsidP="00EB3017">
      <w:pPr>
        <w:pStyle w:val="Prrafodelista"/>
        <w:numPr>
          <w:ilvl w:val="0"/>
          <w:numId w:val="19"/>
        </w:numPr>
        <w:jc w:val="both"/>
        <w:rPr>
          <w:rFonts w:ascii="Times New Roman" w:hAnsi="Times New Roman" w:cs="Times New Roman"/>
        </w:rPr>
      </w:pPr>
      <w:r w:rsidRPr="00EB3017">
        <w:rPr>
          <w:rFonts w:ascii="Times New Roman" w:hAnsi="Times New Roman" w:cs="Times New Roman"/>
          <w:b/>
        </w:rPr>
        <w:t>Control interno</w:t>
      </w:r>
      <w:r w:rsidRPr="00EB3017">
        <w:rPr>
          <w:rFonts w:ascii="Times New Roman" w:hAnsi="Times New Roman" w:cs="Times New Roman"/>
        </w:rPr>
        <w:t>:</w:t>
      </w:r>
      <w:r w:rsidRPr="00EB3017">
        <w:t xml:space="preserve"> </w:t>
      </w:r>
      <w:r w:rsidRPr="00EB3017">
        <w:rPr>
          <w:rFonts w:ascii="Times New Roman" w:hAnsi="Times New Roman" w:cs="Times New Roman"/>
        </w:rPr>
        <w:t>esta sección tiene como objetivo capturar todas las demás cuestiones clave de control interno señaladas por el auditor al realizar la revisión descrita en el alcance del trabajo, particularmente en las siguientes subcategorías (a) Gestión financiera, (b) Gestión del sub-receptor ( c) Gestión de programas (d) Gestión de existencias;</w:t>
      </w:r>
    </w:p>
    <w:p w14:paraId="5C17334E" w14:textId="10011CC6" w:rsidR="00EB3017" w:rsidRDefault="00EB3017" w:rsidP="00AF79AE">
      <w:pPr>
        <w:pStyle w:val="Prrafodelista"/>
        <w:numPr>
          <w:ilvl w:val="0"/>
          <w:numId w:val="19"/>
        </w:numPr>
        <w:jc w:val="both"/>
        <w:rPr>
          <w:rFonts w:ascii="Times New Roman" w:hAnsi="Times New Roman" w:cs="Times New Roman"/>
        </w:rPr>
      </w:pPr>
      <w:r w:rsidRPr="00EB3017">
        <w:rPr>
          <w:rFonts w:ascii="Times New Roman" w:hAnsi="Times New Roman" w:cs="Times New Roman"/>
          <w:b/>
        </w:rPr>
        <w:lastRenderedPageBreak/>
        <w:t>Cumplimiento del acuerdo de subvención y la ley aplicable</w:t>
      </w:r>
      <w:r w:rsidR="00D508C7" w:rsidRPr="00AF79AE">
        <w:rPr>
          <w:rFonts w:ascii="Times New Roman" w:hAnsi="Times New Roman" w:cs="Times New Roman"/>
        </w:rPr>
        <w:t>:</w:t>
      </w:r>
      <w:r w:rsidR="00AF79AE" w:rsidRPr="00AF79AE">
        <w:t xml:space="preserve"> </w:t>
      </w:r>
      <w:r w:rsidR="00AF79AE" w:rsidRPr="00AF79AE">
        <w:rPr>
          <w:rFonts w:ascii="Times New Roman" w:hAnsi="Times New Roman" w:cs="Times New Roman"/>
        </w:rPr>
        <w:t>establezca cualquier caso de incumplimiento del acuerdo de subvención relevante que haya observado el Auditor en el curso de su trabajo para formarse una opinión sobre el GPFS o confirmar que no se ha identificado ninguno en el muestra probada;</w:t>
      </w:r>
      <w:r w:rsidR="00D508C7" w:rsidRPr="00AF79AE">
        <w:rPr>
          <w:rFonts w:ascii="Times New Roman" w:hAnsi="Times New Roman" w:cs="Times New Roman"/>
        </w:rPr>
        <w:t xml:space="preserve"> </w:t>
      </w:r>
    </w:p>
    <w:p w14:paraId="15B9A1BD" w14:textId="47257304" w:rsidR="00AF79AE" w:rsidRDefault="00AF79AE" w:rsidP="00AF79AE">
      <w:pPr>
        <w:pStyle w:val="Prrafodelista"/>
        <w:numPr>
          <w:ilvl w:val="0"/>
          <w:numId w:val="19"/>
        </w:numPr>
        <w:jc w:val="both"/>
        <w:rPr>
          <w:rFonts w:ascii="Times New Roman" w:hAnsi="Times New Roman" w:cs="Times New Roman"/>
        </w:rPr>
      </w:pPr>
      <w:r>
        <w:rPr>
          <w:rFonts w:ascii="Times New Roman" w:hAnsi="Times New Roman" w:cs="Times New Roman"/>
          <w:b/>
        </w:rPr>
        <w:t xml:space="preserve">Valor por su dinero </w:t>
      </w:r>
      <w:r w:rsidRPr="00AF79AE">
        <w:rPr>
          <w:rFonts w:ascii="Times New Roman" w:hAnsi="Times New Roman" w:cs="Times New Roman"/>
        </w:rPr>
        <w:t>:</w:t>
      </w:r>
      <w:r w:rsidRPr="00AF79AE">
        <w:t xml:space="preserve"> </w:t>
      </w:r>
      <w:r w:rsidRPr="00AF79AE">
        <w:rPr>
          <w:rFonts w:ascii="Times New Roman" w:hAnsi="Times New Roman" w:cs="Times New Roman"/>
        </w:rPr>
        <w:t>como se establece en el alcance del trabajo del auditor, y si el equipo de país lo solicita como trabajo adicional, el auditor revisará los gastos de la subvención prestando la debida atención a la economía y la eficiencia. Todas las cuestiones señaladas en torno a la relación calidad-precio (deficiencia de control, pérdida estimada incurrida como resultado de un proceso ineficiente, etc.) deben indicarse en esta sección de la carta de administración;</w:t>
      </w:r>
    </w:p>
    <w:p w14:paraId="0454677B" w14:textId="1D6C1B3B" w:rsidR="00AF79AE" w:rsidRPr="00AF79AE" w:rsidRDefault="00AF79AE" w:rsidP="00AF79AE">
      <w:pPr>
        <w:pStyle w:val="Prrafodelista"/>
        <w:numPr>
          <w:ilvl w:val="0"/>
          <w:numId w:val="19"/>
        </w:numPr>
        <w:jc w:val="both"/>
        <w:rPr>
          <w:rFonts w:ascii="Times New Roman" w:hAnsi="Times New Roman" w:cs="Times New Roman"/>
        </w:rPr>
      </w:pPr>
      <w:r w:rsidRPr="00AF79AE">
        <w:rPr>
          <w:rFonts w:ascii="Times New Roman" w:hAnsi="Times New Roman" w:cs="Times New Roman"/>
          <w:b/>
        </w:rPr>
        <w:t>G</w:t>
      </w:r>
      <w:r>
        <w:rPr>
          <w:rFonts w:ascii="Times New Roman" w:hAnsi="Times New Roman" w:cs="Times New Roman"/>
          <w:b/>
        </w:rPr>
        <w:t>astos inelegibles y sin respaldos</w:t>
      </w:r>
      <w:r w:rsidRPr="00AF79AE">
        <w:rPr>
          <w:rFonts w:ascii="Times New Roman" w:hAnsi="Times New Roman" w:cs="Times New Roman"/>
        </w:rPr>
        <w:t>: Presentar una lista de gastos no elegibles o no justificados identificados por los auditores en el transcurso de su labor.</w:t>
      </w:r>
    </w:p>
    <w:p w14:paraId="02BA3DE5" w14:textId="0E295662" w:rsidR="00AF79AE" w:rsidRPr="00327C53" w:rsidRDefault="00327C53" w:rsidP="00327C53">
      <w:pPr>
        <w:pStyle w:val="Prrafodelista"/>
        <w:numPr>
          <w:ilvl w:val="0"/>
          <w:numId w:val="19"/>
        </w:numPr>
        <w:jc w:val="both"/>
        <w:rPr>
          <w:rFonts w:ascii="Times New Roman" w:hAnsi="Times New Roman" w:cs="Times New Roman"/>
        </w:rPr>
      </w:pPr>
      <w:r w:rsidRPr="00327C53">
        <w:rPr>
          <w:rFonts w:ascii="Times New Roman" w:hAnsi="Times New Roman" w:cs="Times New Roman"/>
          <w:b/>
        </w:rPr>
        <w:t>Seguimiento del Informe de auditoría anterior</w:t>
      </w:r>
      <w:r>
        <w:rPr>
          <w:rFonts w:ascii="Times New Roman" w:hAnsi="Times New Roman" w:cs="Times New Roman"/>
          <w:b/>
        </w:rPr>
        <w:t>:</w:t>
      </w:r>
      <w:r w:rsidRPr="00327C53">
        <w:t xml:space="preserve"> </w:t>
      </w:r>
      <w:r w:rsidRPr="00327C53">
        <w:rPr>
          <w:rFonts w:ascii="Times New Roman" w:hAnsi="Times New Roman" w:cs="Times New Roman"/>
        </w:rPr>
        <w:t xml:space="preserve">Informe sobre el estado de implementación de las recomendaciones contenidas en informes de auditoría anteriores. </w:t>
      </w:r>
    </w:p>
    <w:p w14:paraId="5CE05D4E" w14:textId="77777777" w:rsidR="00EB3017" w:rsidRDefault="00EB3017" w:rsidP="00914CD9">
      <w:pPr>
        <w:jc w:val="both"/>
        <w:rPr>
          <w:rFonts w:ascii="Times New Roman" w:hAnsi="Times New Roman" w:cs="Times New Roman"/>
          <w:sz w:val="22"/>
          <w:szCs w:val="22"/>
        </w:rPr>
      </w:pPr>
    </w:p>
    <w:p w14:paraId="175B667E" w14:textId="69BCEB9E" w:rsidR="00327C53" w:rsidRDefault="00327C53" w:rsidP="00327C53">
      <w:pPr>
        <w:jc w:val="both"/>
        <w:rPr>
          <w:rFonts w:ascii="Times New Roman" w:hAnsi="Times New Roman" w:cs="Times New Roman"/>
          <w:b/>
          <w:bCs/>
          <w:sz w:val="22"/>
          <w:szCs w:val="22"/>
        </w:rPr>
      </w:pPr>
      <w:r w:rsidRPr="00D60101">
        <w:rPr>
          <w:rFonts w:ascii="Times New Roman" w:hAnsi="Times New Roman" w:cs="Times New Roman"/>
          <w:b/>
          <w:bCs/>
          <w:sz w:val="22"/>
          <w:szCs w:val="22"/>
        </w:rPr>
        <w:t>11.</w:t>
      </w:r>
      <w:r>
        <w:rPr>
          <w:rFonts w:ascii="Times New Roman" w:hAnsi="Times New Roman" w:cs="Times New Roman"/>
          <w:b/>
          <w:bCs/>
          <w:sz w:val="22"/>
          <w:szCs w:val="22"/>
        </w:rPr>
        <w:t>2</w:t>
      </w:r>
      <w:r w:rsidRPr="00D60101">
        <w:rPr>
          <w:rFonts w:ascii="Times New Roman" w:hAnsi="Times New Roman" w:cs="Times New Roman"/>
          <w:b/>
          <w:bCs/>
          <w:sz w:val="22"/>
          <w:szCs w:val="22"/>
        </w:rPr>
        <w:t xml:space="preserve"> Gestión</w:t>
      </w:r>
      <w:r>
        <w:rPr>
          <w:rFonts w:ascii="Times New Roman" w:hAnsi="Times New Roman" w:cs="Times New Roman"/>
          <w:b/>
          <w:bCs/>
          <w:sz w:val="22"/>
          <w:szCs w:val="22"/>
        </w:rPr>
        <w:t xml:space="preserve"> de Riesgo</w:t>
      </w:r>
      <w:r w:rsidRPr="00D60101">
        <w:rPr>
          <w:rFonts w:ascii="Times New Roman" w:hAnsi="Times New Roman" w:cs="Times New Roman"/>
          <w:b/>
          <w:bCs/>
          <w:sz w:val="22"/>
          <w:szCs w:val="22"/>
        </w:rPr>
        <w:t xml:space="preserve"> </w:t>
      </w:r>
    </w:p>
    <w:p w14:paraId="7753EB34" w14:textId="77777777" w:rsidR="00AD0B06" w:rsidRDefault="00AD0B06" w:rsidP="00327C53">
      <w:pPr>
        <w:jc w:val="both"/>
        <w:rPr>
          <w:rFonts w:ascii="Times New Roman" w:hAnsi="Times New Roman" w:cs="Times New Roman"/>
          <w:bCs/>
          <w:sz w:val="22"/>
          <w:szCs w:val="22"/>
        </w:rPr>
      </w:pPr>
    </w:p>
    <w:p w14:paraId="097FE800" w14:textId="0C3C108F" w:rsidR="00327C53" w:rsidRPr="00327C53" w:rsidRDefault="00EC2A98" w:rsidP="00327C53">
      <w:pPr>
        <w:jc w:val="both"/>
        <w:rPr>
          <w:rFonts w:ascii="Times New Roman" w:hAnsi="Times New Roman" w:cs="Times New Roman"/>
          <w:bCs/>
          <w:sz w:val="22"/>
          <w:szCs w:val="22"/>
        </w:rPr>
      </w:pPr>
      <w:r>
        <w:rPr>
          <w:rFonts w:ascii="Times New Roman" w:hAnsi="Times New Roman" w:cs="Times New Roman"/>
          <w:bCs/>
          <w:sz w:val="22"/>
          <w:szCs w:val="22"/>
        </w:rPr>
        <w:t xml:space="preserve">34. </w:t>
      </w:r>
      <w:r w:rsidR="00327C53" w:rsidRPr="00327C53">
        <w:rPr>
          <w:rFonts w:ascii="Times New Roman" w:hAnsi="Times New Roman" w:cs="Times New Roman"/>
          <w:bCs/>
          <w:sz w:val="22"/>
          <w:szCs w:val="22"/>
        </w:rPr>
        <w:t>Específicamente para la sección de gestión financiera de la Carta de gestión, se espera que el Auditor clasifique cada hallazgo, cuando corresponda, en una de las seis subcategorías de los riesgos financieros definidos por el Fondo Mundial y proporcione un cuadro resumen que muestre los hallazgos. por subcategoría de riesgo y clasificación. Las seis categorías son:</w:t>
      </w:r>
    </w:p>
    <w:p w14:paraId="0AF40B4A" w14:textId="489A2935" w:rsidR="00327C53" w:rsidRPr="00327C53" w:rsidRDefault="00EC2A98" w:rsidP="00EC2A98">
      <w:pPr>
        <w:ind w:left="720"/>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Arreglos de flujo de fondos inadecuado;</w:t>
      </w:r>
    </w:p>
    <w:p w14:paraId="4F61CDB4" w14:textId="175A1113" w:rsidR="00327C53" w:rsidRPr="00327C53"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Controles internos inadecuados;</w:t>
      </w:r>
    </w:p>
    <w:p w14:paraId="761D5897" w14:textId="4A09E93F" w:rsidR="00327C53" w:rsidRPr="00327C53"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Fraude financiero, corrupción y robo;</w:t>
      </w:r>
    </w:p>
    <w:p w14:paraId="5EDC8FC4" w14:textId="3BD5700A" w:rsidR="00327C53" w:rsidRPr="00327C53"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Informes contables y financieros inadecuados;</w:t>
      </w:r>
    </w:p>
    <w:p w14:paraId="4E84363B" w14:textId="4A4D4657" w:rsidR="00327C53" w:rsidRPr="00327C53"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Valor por dinero limitado; y</w:t>
      </w:r>
    </w:p>
    <w:p w14:paraId="0FA8027D" w14:textId="4CF022E1" w:rsidR="00327C53" w:rsidRPr="00327C53"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 xml:space="preserve">                   </w:t>
      </w:r>
      <w:r w:rsidR="00327C53" w:rsidRPr="00327C53">
        <w:rPr>
          <w:rFonts w:ascii="Times New Roman" w:hAnsi="Times New Roman" w:cs="Times New Roman"/>
          <w:bCs/>
          <w:sz w:val="22"/>
          <w:szCs w:val="22"/>
        </w:rPr>
        <w:t>• Arreglos de auditoría inadecuados.</w:t>
      </w:r>
    </w:p>
    <w:p w14:paraId="311226E9" w14:textId="71DEB452" w:rsidR="00327C53" w:rsidRPr="00D60101" w:rsidRDefault="00327C53" w:rsidP="00327C53">
      <w:pPr>
        <w:jc w:val="both"/>
        <w:rPr>
          <w:rFonts w:ascii="Times New Roman" w:hAnsi="Times New Roman" w:cs="Times New Roman"/>
          <w:b/>
          <w:bCs/>
          <w:sz w:val="22"/>
          <w:szCs w:val="22"/>
        </w:rPr>
      </w:pPr>
    </w:p>
    <w:p w14:paraId="532586F4" w14:textId="77777777" w:rsidR="004D4E7D" w:rsidRDefault="004D4E7D" w:rsidP="00914CD9">
      <w:pPr>
        <w:jc w:val="both"/>
        <w:rPr>
          <w:rFonts w:ascii="Times New Roman" w:hAnsi="Times New Roman" w:cs="Times New Roman"/>
          <w:sz w:val="22"/>
          <w:szCs w:val="22"/>
        </w:rPr>
      </w:pPr>
    </w:p>
    <w:p w14:paraId="7D77693A" w14:textId="77777777" w:rsidR="00EC2A98" w:rsidRDefault="00EC2A98" w:rsidP="00914CD9">
      <w:pPr>
        <w:jc w:val="both"/>
        <w:rPr>
          <w:rFonts w:ascii="Times New Roman" w:hAnsi="Times New Roman" w:cs="Times New Roman"/>
          <w:sz w:val="22"/>
          <w:szCs w:val="22"/>
        </w:rPr>
      </w:pPr>
    </w:p>
    <w:p w14:paraId="238132C5" w14:textId="16FA9BB1" w:rsidR="00EC2A98" w:rsidRDefault="00EC2A98" w:rsidP="00914CD9">
      <w:pPr>
        <w:jc w:val="both"/>
        <w:rPr>
          <w:rFonts w:ascii="Times New Roman" w:hAnsi="Times New Roman" w:cs="Times New Roman"/>
          <w:sz w:val="22"/>
          <w:szCs w:val="22"/>
        </w:rPr>
      </w:pPr>
      <w:r>
        <w:rPr>
          <w:rFonts w:ascii="Times New Roman" w:hAnsi="Times New Roman" w:cs="Times New Roman"/>
          <w:sz w:val="22"/>
          <w:szCs w:val="22"/>
        </w:rPr>
        <w:t xml:space="preserve">35. </w:t>
      </w:r>
      <w:r w:rsidR="00A5124F" w:rsidRPr="00A5124F">
        <w:rPr>
          <w:rFonts w:ascii="Times New Roman" w:hAnsi="Times New Roman" w:cs="Times New Roman"/>
          <w:sz w:val="22"/>
          <w:szCs w:val="22"/>
        </w:rPr>
        <w:t>Las definiciones de cada una de estas categorías figuran en</w:t>
      </w:r>
      <w:r w:rsidR="005E2CE8">
        <w:rPr>
          <w:rFonts w:ascii="Times New Roman" w:hAnsi="Times New Roman" w:cs="Times New Roman"/>
          <w:sz w:val="22"/>
          <w:szCs w:val="22"/>
        </w:rPr>
        <w:t xml:space="preserve"> </w:t>
      </w:r>
      <w:r w:rsidRPr="00C036A2">
        <w:rPr>
          <w:rFonts w:ascii="Georgia" w:eastAsia="Calibri" w:hAnsi="Georgia" w:cs="Times New Roman"/>
        </w:rPr>
        <w:t>in</w:t>
      </w:r>
      <w:r w:rsidRPr="00453377">
        <w:rPr>
          <w:rFonts w:ascii="Georgia" w:eastAsia="Times New Roman" w:hAnsi="Georgia" w:cs="Georgia"/>
          <w:i/>
          <w:color w:val="000000"/>
          <w:lang w:eastAsia="en-IE"/>
        </w:rPr>
        <w:t xml:space="preserve"> </w:t>
      </w:r>
      <w:hyperlink r:id="rId10" w:history="1">
        <w:r w:rsidRPr="00453377">
          <w:rPr>
            <w:rFonts w:ascii="Georgia" w:eastAsia="MS Gothic" w:hAnsi="Georgia" w:cs="Georgia"/>
            <w:i/>
            <w:color w:val="0000FF"/>
            <w:u w:val="single"/>
            <w:lang w:eastAsia="en-IE"/>
          </w:rPr>
          <w:t>the Global Fund Financial Risk Management guidelines</w:t>
        </w:r>
      </w:hyperlink>
      <w:r w:rsidR="005E2CE8" w:rsidRPr="005E2CE8">
        <w:rPr>
          <w:rFonts w:ascii="Times New Roman" w:hAnsi="Times New Roman" w:cs="Times New Roman"/>
          <w:sz w:val="22"/>
          <w:szCs w:val="22"/>
        </w:rPr>
        <w:t xml:space="preserve"> </w:t>
      </w:r>
    </w:p>
    <w:p w14:paraId="1C2F28E8" w14:textId="7D3B8528" w:rsidR="005E2CE8" w:rsidRPr="00EC2A98" w:rsidRDefault="005E2CE8" w:rsidP="00914CD9">
      <w:pPr>
        <w:jc w:val="both"/>
        <w:rPr>
          <w:rFonts w:ascii="Times New Roman" w:hAnsi="Times New Roman" w:cs="Times New Roman"/>
          <w:color w:val="1F497D" w:themeColor="text2"/>
          <w:sz w:val="18"/>
          <w:szCs w:val="18"/>
        </w:rPr>
      </w:pPr>
      <w:r w:rsidRPr="00EC2A98">
        <w:rPr>
          <w:rFonts w:ascii="Times New Roman" w:hAnsi="Times New Roman" w:cs="Times New Roman"/>
          <w:color w:val="1F497D" w:themeColor="text2"/>
          <w:sz w:val="18"/>
          <w:szCs w:val="18"/>
        </w:rPr>
        <w:t xml:space="preserve">https://www.theglobalfund.org/media/7540/financial_financialriskmanagement_guidelines_en.pdf?u=636784020850000000  </w:t>
      </w:r>
    </w:p>
    <w:p w14:paraId="37A3F65E" w14:textId="77777777" w:rsidR="00EC2A98" w:rsidRDefault="00EC2A98" w:rsidP="00914CD9">
      <w:pPr>
        <w:jc w:val="both"/>
        <w:rPr>
          <w:rFonts w:ascii="Times New Roman" w:hAnsi="Times New Roman" w:cs="Times New Roman"/>
          <w:sz w:val="22"/>
          <w:szCs w:val="22"/>
        </w:rPr>
      </w:pPr>
      <w:r w:rsidRPr="00EC2A98">
        <w:rPr>
          <w:rFonts w:ascii="Times New Roman" w:hAnsi="Times New Roman" w:cs="Times New Roman"/>
          <w:sz w:val="22"/>
          <w:szCs w:val="22"/>
        </w:rPr>
        <w:t>Se espera que el Auditor clasifique cada hallazgo, cuando corresponda, en una de estas seis subcategorías y proporcione un cuadro resumen que muestre los hallazgos por subcategoría de riesgo y clasificación.</w:t>
      </w:r>
    </w:p>
    <w:p w14:paraId="4D10DF20" w14:textId="4BB14C97" w:rsidR="00AB1293" w:rsidRDefault="00AB1293" w:rsidP="00914CD9">
      <w:pPr>
        <w:jc w:val="both"/>
        <w:rPr>
          <w:rFonts w:ascii="Times New Roman" w:hAnsi="Times New Roman" w:cs="Times New Roman"/>
          <w:sz w:val="22"/>
          <w:szCs w:val="22"/>
        </w:rPr>
      </w:pPr>
    </w:p>
    <w:p w14:paraId="660896B1" w14:textId="77777777" w:rsidR="00EC2A98" w:rsidRDefault="00EC2A98" w:rsidP="00EC2A98">
      <w:pPr>
        <w:jc w:val="both"/>
        <w:rPr>
          <w:rFonts w:ascii="Times New Roman" w:hAnsi="Times New Roman" w:cs="Times New Roman"/>
          <w:b/>
          <w:bCs/>
          <w:sz w:val="22"/>
          <w:szCs w:val="22"/>
        </w:rPr>
      </w:pPr>
      <w:r w:rsidRPr="00D60101">
        <w:rPr>
          <w:rFonts w:ascii="Times New Roman" w:hAnsi="Times New Roman" w:cs="Times New Roman"/>
          <w:b/>
          <w:bCs/>
          <w:sz w:val="22"/>
          <w:szCs w:val="22"/>
        </w:rPr>
        <w:t>11.</w:t>
      </w:r>
      <w:r>
        <w:rPr>
          <w:rFonts w:ascii="Times New Roman" w:hAnsi="Times New Roman" w:cs="Times New Roman"/>
          <w:b/>
          <w:bCs/>
          <w:sz w:val="22"/>
          <w:szCs w:val="22"/>
        </w:rPr>
        <w:t>3</w:t>
      </w:r>
      <w:r w:rsidRPr="00D60101">
        <w:rPr>
          <w:rFonts w:ascii="Times New Roman" w:hAnsi="Times New Roman" w:cs="Times New Roman"/>
          <w:b/>
          <w:bCs/>
          <w:sz w:val="22"/>
          <w:szCs w:val="22"/>
        </w:rPr>
        <w:t xml:space="preserve"> </w:t>
      </w:r>
      <w:r>
        <w:rPr>
          <w:rFonts w:ascii="Times New Roman" w:hAnsi="Times New Roman" w:cs="Times New Roman"/>
          <w:b/>
          <w:bCs/>
          <w:sz w:val="22"/>
          <w:szCs w:val="22"/>
        </w:rPr>
        <w:t>Otras divulgaciones importantes</w:t>
      </w:r>
    </w:p>
    <w:p w14:paraId="24234837" w14:textId="77777777" w:rsidR="00AD0B06" w:rsidRDefault="00AD0B06" w:rsidP="00EC2A98">
      <w:pPr>
        <w:jc w:val="both"/>
        <w:rPr>
          <w:rFonts w:ascii="Times New Roman" w:hAnsi="Times New Roman" w:cs="Times New Roman"/>
          <w:bCs/>
          <w:sz w:val="22"/>
          <w:szCs w:val="22"/>
        </w:rPr>
      </w:pPr>
    </w:p>
    <w:p w14:paraId="433306AD" w14:textId="161AFB31" w:rsidR="00EC2A98" w:rsidRPr="00EC2A98" w:rsidRDefault="00EC2A98" w:rsidP="00EC2A98">
      <w:pPr>
        <w:jc w:val="both"/>
        <w:rPr>
          <w:rFonts w:ascii="Times New Roman" w:hAnsi="Times New Roman" w:cs="Times New Roman"/>
          <w:bCs/>
          <w:sz w:val="22"/>
          <w:szCs w:val="22"/>
        </w:rPr>
      </w:pPr>
      <w:r>
        <w:rPr>
          <w:rFonts w:ascii="Times New Roman" w:hAnsi="Times New Roman" w:cs="Times New Roman"/>
          <w:bCs/>
          <w:sz w:val="22"/>
          <w:szCs w:val="22"/>
        </w:rPr>
        <w:t>36.</w:t>
      </w:r>
      <w:r w:rsidR="001D69EB">
        <w:rPr>
          <w:rFonts w:ascii="Times New Roman" w:hAnsi="Times New Roman" w:cs="Times New Roman"/>
          <w:bCs/>
          <w:sz w:val="22"/>
          <w:szCs w:val="22"/>
        </w:rPr>
        <w:t xml:space="preserve"> </w:t>
      </w:r>
      <w:r w:rsidRPr="00EC2A98">
        <w:rPr>
          <w:rFonts w:ascii="Times New Roman" w:hAnsi="Times New Roman" w:cs="Times New Roman"/>
          <w:bCs/>
          <w:sz w:val="22"/>
          <w:szCs w:val="22"/>
        </w:rPr>
        <w:t xml:space="preserve">Con base en los hallazgos de la revisión del marco de control interno (que eventualmente incluye un agente externo) y el grado de estas debilidades, la Carta a la Gerencia debe incluir un resumen ejecutivo de alto nivel con las siguientes estadísticas e información: </w:t>
      </w:r>
    </w:p>
    <w:p w14:paraId="6BD41857" w14:textId="5E18C3E5" w:rsidR="00EC2A98" w:rsidRDefault="00EC2A98" w:rsidP="00914CD9">
      <w:pPr>
        <w:jc w:val="both"/>
        <w:rPr>
          <w:rFonts w:ascii="Times New Roman" w:hAnsi="Times New Roman" w:cs="Times New Roman"/>
          <w:sz w:val="22"/>
          <w:szCs w:val="22"/>
        </w:rPr>
      </w:pPr>
    </w:p>
    <w:p w14:paraId="0522D1AC" w14:textId="51C27196"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La calificación de riesgo financiero por categoría de riesgo</w:t>
      </w:r>
    </w:p>
    <w:p w14:paraId="23D25FFE" w14:textId="1DCCC116"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La calidad de los estados financieros proporcionados por el Receptor Principal antes de los ajustes propuestos por el auditor.</w:t>
      </w:r>
    </w:p>
    <w:p w14:paraId="58B96911" w14:textId="4D059ED3"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Estadísticas sobre el número de hallazgos por grado y su evolución en el tiempo</w:t>
      </w:r>
    </w:p>
    <w:p w14:paraId="5C008A30" w14:textId="063D6483"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Resumen de los procedimientos de control clave de los destinatarios, como las políticas sobre adquisiciones, viajes, asignación de gastos, etc.</w:t>
      </w:r>
    </w:p>
    <w:p w14:paraId="1BC24B8D" w14:textId="7CFC1023"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El juicio del auditor sobre cuáles son los riesgos clave de auditoría y la metodología utilizada para abordar estos riesgos clave.</w:t>
      </w:r>
    </w:p>
    <w:p w14:paraId="07D91A39" w14:textId="729FAABF"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El número de recomendaciones de auditorías anteriores resueltas y las no resueltas.</w:t>
      </w:r>
    </w:p>
    <w:p w14:paraId="77201D00" w14:textId="4AC4BC0C" w:rsidR="001D69EB" w:rsidRPr="001D69EB" w:rsidRDefault="001D69EB" w:rsidP="001D69EB">
      <w:pPr>
        <w:pStyle w:val="Prrafodelista"/>
        <w:numPr>
          <w:ilvl w:val="0"/>
          <w:numId w:val="25"/>
        </w:numPr>
        <w:jc w:val="both"/>
        <w:rPr>
          <w:rFonts w:ascii="Times New Roman" w:hAnsi="Times New Roman" w:cs="Times New Roman"/>
        </w:rPr>
      </w:pPr>
      <w:r w:rsidRPr="001D69EB">
        <w:rPr>
          <w:rFonts w:ascii="Times New Roman" w:hAnsi="Times New Roman" w:cs="Times New Roman"/>
        </w:rPr>
        <w:t>Cualquier otra gestión de información importante debe centrar su atención.</w:t>
      </w:r>
    </w:p>
    <w:p w14:paraId="42A8BFA6" w14:textId="77777777" w:rsidR="000C607E" w:rsidRDefault="000C607E" w:rsidP="000C607E">
      <w:pPr>
        <w:jc w:val="both"/>
        <w:rPr>
          <w:rFonts w:ascii="Times New Roman" w:hAnsi="Times New Roman" w:cs="Times New Roman"/>
          <w:sz w:val="22"/>
          <w:szCs w:val="22"/>
        </w:rPr>
      </w:pPr>
    </w:p>
    <w:p w14:paraId="2B621020" w14:textId="45140EF1" w:rsidR="000C607E" w:rsidRPr="000C607E" w:rsidRDefault="000C607E" w:rsidP="000C607E">
      <w:pPr>
        <w:jc w:val="both"/>
        <w:rPr>
          <w:rFonts w:ascii="Times New Roman" w:hAnsi="Times New Roman" w:cs="Times New Roman"/>
          <w:sz w:val="22"/>
          <w:szCs w:val="22"/>
        </w:rPr>
      </w:pPr>
      <w:r>
        <w:rPr>
          <w:rFonts w:ascii="Times New Roman" w:hAnsi="Times New Roman" w:cs="Times New Roman"/>
          <w:sz w:val="22"/>
          <w:szCs w:val="22"/>
        </w:rPr>
        <w:t xml:space="preserve">37. </w:t>
      </w:r>
      <w:r w:rsidRPr="000C607E">
        <w:rPr>
          <w:rFonts w:ascii="Times New Roman" w:hAnsi="Times New Roman" w:cs="Times New Roman"/>
          <w:sz w:val="22"/>
          <w:szCs w:val="22"/>
        </w:rPr>
        <w:t>La Carta de gestión debe incluir las respuestas del Receptor Principal al discutir las recomendaciones de auditoría, junto con un cronograma para implementar las recomendaciones acordadas. En los casos en que el Receptor Principal no acepte un hallazgo de auditoría o el Auditor no esté de acuerdo con la adecuación de la respuesta de la gerencia, la carta de la gerencia reconocerá ese desacuerdo. Todas las observaciones y recomendaciones se discutirán con la administración del Receptor Principal antes de que se finalice la carta.</w:t>
      </w:r>
    </w:p>
    <w:p w14:paraId="6C115445" w14:textId="1FCFBA9D" w:rsidR="000C607E" w:rsidRPr="000C607E" w:rsidRDefault="000C607E" w:rsidP="00F75887">
      <w:pPr>
        <w:jc w:val="both"/>
        <w:rPr>
          <w:rFonts w:ascii="Times New Roman" w:hAnsi="Times New Roman" w:cs="Times New Roman"/>
          <w:sz w:val="22"/>
          <w:szCs w:val="22"/>
        </w:rPr>
      </w:pPr>
      <w:r w:rsidRPr="000C607E">
        <w:rPr>
          <w:rFonts w:ascii="Times New Roman" w:hAnsi="Times New Roman" w:cs="Times New Roman"/>
          <w:sz w:val="22"/>
          <w:szCs w:val="22"/>
        </w:rPr>
        <w:t>• Debe indicarse claramente en el anverso de la Carta de gestión que es un documento confidencial y debe tratarse como tal.</w:t>
      </w:r>
    </w:p>
    <w:p w14:paraId="6FDAC131" w14:textId="5CC59520" w:rsidR="000C607E" w:rsidRPr="000C607E" w:rsidRDefault="000C607E" w:rsidP="00F75887">
      <w:pPr>
        <w:jc w:val="both"/>
        <w:rPr>
          <w:rFonts w:ascii="Times New Roman" w:hAnsi="Times New Roman" w:cs="Times New Roman"/>
          <w:sz w:val="22"/>
          <w:szCs w:val="22"/>
        </w:rPr>
      </w:pPr>
      <w:r w:rsidRPr="000C607E">
        <w:rPr>
          <w:rFonts w:ascii="Times New Roman" w:hAnsi="Times New Roman" w:cs="Times New Roman"/>
          <w:sz w:val="22"/>
          <w:szCs w:val="22"/>
        </w:rPr>
        <w:t xml:space="preserve">• La Carta de gestión debe indicar que el Auditor reconoce y acepta que la Carta de gestión se </w:t>
      </w:r>
      <w:r>
        <w:rPr>
          <w:rFonts w:ascii="Times New Roman" w:hAnsi="Times New Roman" w:cs="Times New Roman"/>
          <w:sz w:val="22"/>
          <w:szCs w:val="22"/>
        </w:rPr>
        <w:t xml:space="preserve">    </w:t>
      </w:r>
      <w:r w:rsidRPr="000C607E">
        <w:rPr>
          <w:rFonts w:ascii="Times New Roman" w:hAnsi="Times New Roman" w:cs="Times New Roman"/>
          <w:sz w:val="22"/>
          <w:szCs w:val="22"/>
        </w:rPr>
        <w:t>compartirá con el Fondo Mundial y el Agente local del Fondo (de forma confidencial).</w:t>
      </w:r>
    </w:p>
    <w:p w14:paraId="564CB611" w14:textId="6581FBA6" w:rsidR="00AB1293" w:rsidRDefault="000C607E" w:rsidP="00437CC2">
      <w:pPr>
        <w:widowControl/>
        <w:suppressAutoHyphens w:val="0"/>
        <w:autoSpaceDE w:val="0"/>
        <w:autoSpaceDN w:val="0"/>
        <w:adjustRightInd w:val="0"/>
        <w:rPr>
          <w:rFonts w:ascii="Times New Roman" w:hAnsi="Times New Roman" w:cs="Times New Roman"/>
          <w:sz w:val="22"/>
          <w:szCs w:val="22"/>
        </w:rPr>
      </w:pPr>
      <w:r w:rsidRPr="000C607E">
        <w:rPr>
          <w:rFonts w:ascii="Times New Roman" w:hAnsi="Times New Roman" w:cs="Times New Roman"/>
          <w:sz w:val="22"/>
          <w:szCs w:val="22"/>
        </w:rPr>
        <w:t>• La Carta de Gestión debe utilizar un sistema de puntos de calificación según el niv</w:t>
      </w:r>
      <w:r w:rsidR="00437CC2">
        <w:rPr>
          <w:rFonts w:ascii="Times New Roman" w:hAnsi="Times New Roman" w:cs="Times New Roman"/>
          <w:sz w:val="22"/>
          <w:szCs w:val="22"/>
        </w:rPr>
        <w:t xml:space="preserve">el de severidad en línea con el </w:t>
      </w:r>
      <w:r w:rsidRPr="000C607E">
        <w:rPr>
          <w:rFonts w:ascii="Times New Roman" w:hAnsi="Times New Roman" w:cs="Times New Roman"/>
          <w:sz w:val="22"/>
          <w:szCs w:val="22"/>
        </w:rPr>
        <w:t>propuesto en las</w:t>
      </w:r>
      <w:r w:rsidR="00F75887">
        <w:rPr>
          <w:rFonts w:ascii="Times New Roman" w:hAnsi="Times New Roman" w:cs="Times New Roman"/>
          <w:sz w:val="22"/>
          <w:szCs w:val="22"/>
        </w:rPr>
        <w:t xml:space="preserve"> </w:t>
      </w:r>
      <w:hyperlink r:id="rId11" w:history="1">
        <w:r w:rsidR="00437CC2">
          <w:rPr>
            <w:rStyle w:val="Hipervnculo"/>
            <w:rFonts w:ascii="Times New Roman" w:hAnsi="Times New Roman" w:cs="Times New Roman"/>
            <w:sz w:val="22"/>
            <w:szCs w:val="22"/>
          </w:rPr>
          <w:t>https://www.theglobalfund.org/media/10079/core_annualauditsoffinancialstatements_guideline_es.pdf?u=637341239161570000</w:t>
        </w:r>
      </w:hyperlink>
    </w:p>
    <w:p w14:paraId="1CEE9D75" w14:textId="77777777" w:rsidR="000C607E" w:rsidRDefault="000C607E" w:rsidP="000C607E">
      <w:pPr>
        <w:rPr>
          <w:rFonts w:ascii="Times New Roman" w:hAnsi="Times New Roman" w:cs="Times New Roman"/>
          <w:sz w:val="22"/>
          <w:szCs w:val="22"/>
        </w:rPr>
      </w:pPr>
    </w:p>
    <w:p w14:paraId="3B55B9DD" w14:textId="77777777" w:rsidR="001D69EB" w:rsidRPr="00077A67" w:rsidRDefault="001D69EB" w:rsidP="00914CD9">
      <w:pPr>
        <w:jc w:val="both"/>
        <w:rPr>
          <w:rFonts w:ascii="Times New Roman" w:hAnsi="Times New Roman" w:cs="Times New Roman"/>
          <w:sz w:val="22"/>
          <w:szCs w:val="22"/>
        </w:rPr>
      </w:pPr>
    </w:p>
    <w:p w14:paraId="57F181D7" w14:textId="2EEBC95F" w:rsidR="00AB1293" w:rsidRDefault="00511DD4" w:rsidP="00914CD9">
      <w:pPr>
        <w:jc w:val="both"/>
        <w:rPr>
          <w:rFonts w:ascii="Times New Roman" w:hAnsi="Times New Roman" w:cs="Times New Roman"/>
          <w:b/>
          <w:bCs/>
          <w:color w:val="000000"/>
          <w:sz w:val="22"/>
          <w:szCs w:val="22"/>
        </w:rPr>
      </w:pPr>
      <w:r w:rsidRPr="00077A67">
        <w:rPr>
          <w:rFonts w:ascii="Times New Roman" w:hAnsi="Times New Roman" w:cs="Times New Roman"/>
          <w:b/>
          <w:bCs/>
          <w:color w:val="000000"/>
          <w:sz w:val="22"/>
          <w:szCs w:val="22"/>
        </w:rPr>
        <w:t>1</w:t>
      </w:r>
      <w:r w:rsidR="00437CC2">
        <w:rPr>
          <w:rFonts w:ascii="Times New Roman" w:hAnsi="Times New Roman" w:cs="Times New Roman"/>
          <w:b/>
          <w:bCs/>
          <w:color w:val="000000"/>
          <w:sz w:val="22"/>
          <w:szCs w:val="22"/>
        </w:rPr>
        <w:t>1</w:t>
      </w:r>
      <w:r w:rsidRPr="00077A67">
        <w:rPr>
          <w:rFonts w:ascii="Times New Roman" w:hAnsi="Times New Roman" w:cs="Times New Roman"/>
          <w:b/>
          <w:bCs/>
          <w:color w:val="000000"/>
          <w:sz w:val="22"/>
          <w:szCs w:val="22"/>
        </w:rPr>
        <w:t>.</w:t>
      </w:r>
      <w:r w:rsidR="00437CC2">
        <w:rPr>
          <w:rFonts w:ascii="Times New Roman" w:hAnsi="Times New Roman" w:cs="Times New Roman"/>
          <w:b/>
          <w:bCs/>
          <w:color w:val="000000"/>
          <w:sz w:val="22"/>
          <w:szCs w:val="22"/>
        </w:rPr>
        <w:t>4</w:t>
      </w:r>
      <w:r w:rsidRPr="00077A67">
        <w:rPr>
          <w:rFonts w:ascii="Times New Roman" w:hAnsi="Times New Roman" w:cs="Times New Roman"/>
          <w:b/>
          <w:bCs/>
          <w:color w:val="000000"/>
          <w:sz w:val="22"/>
          <w:szCs w:val="22"/>
        </w:rPr>
        <w:t xml:space="preserve"> </w:t>
      </w:r>
      <w:r w:rsidR="00F75887">
        <w:rPr>
          <w:rFonts w:ascii="Times New Roman" w:hAnsi="Times New Roman" w:cs="Times New Roman"/>
          <w:b/>
          <w:bCs/>
          <w:color w:val="000000"/>
          <w:sz w:val="22"/>
          <w:szCs w:val="22"/>
        </w:rPr>
        <w:t>Proceso de Revisión de informes</w:t>
      </w:r>
    </w:p>
    <w:p w14:paraId="269905C6" w14:textId="635E5E2B" w:rsidR="00437CC2" w:rsidRDefault="00437CC2" w:rsidP="00914CD9">
      <w:pPr>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w:t>
      </w:r>
    </w:p>
    <w:p w14:paraId="364F7129" w14:textId="60E2C07A" w:rsidR="00437CC2" w:rsidRPr="00077A67" w:rsidRDefault="00437CC2" w:rsidP="00914CD9">
      <w:pPr>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11.4.1 Borrador del informe</w:t>
      </w:r>
    </w:p>
    <w:p w14:paraId="670F02E0" w14:textId="77777777" w:rsidR="00AB1293" w:rsidRPr="00077A67" w:rsidRDefault="00AB1293" w:rsidP="00914CD9">
      <w:pPr>
        <w:jc w:val="both"/>
        <w:rPr>
          <w:rFonts w:ascii="Times New Roman" w:hAnsi="Times New Roman" w:cs="Times New Roman"/>
          <w:sz w:val="22"/>
          <w:szCs w:val="22"/>
        </w:rPr>
      </w:pPr>
    </w:p>
    <w:p w14:paraId="60132198" w14:textId="366C81F6" w:rsidR="00437CC2" w:rsidRPr="00437CC2" w:rsidRDefault="00437CC2" w:rsidP="00437CC2">
      <w:pPr>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38. </w:t>
      </w:r>
      <w:r w:rsidRPr="00437CC2">
        <w:rPr>
          <w:rFonts w:ascii="Times New Roman" w:hAnsi="Times New Roman" w:cs="Times New Roman"/>
          <w:color w:val="000000"/>
          <w:sz w:val="22"/>
          <w:szCs w:val="22"/>
        </w:rPr>
        <w:t>El Receptor Principal proporcionaría comentarios sobre el borrador del informe del Auditor dentro de los 10 días naturales siguientes a la recepción del borrador del informe. El Equipo de País del Fondo Mundial correspondiente también puede solicitar revisar el borrador del informe. Después de la revisión del borrador del informe, si el Fondo Mundial solicita al Auditor que lleve a cabo trabajo adicional, se podría acordar una nueva fecha límite para la presentación de informes.</w:t>
      </w:r>
    </w:p>
    <w:p w14:paraId="58FCA0C1" w14:textId="46AF5D6A" w:rsidR="00437CC2" w:rsidRPr="00437CC2" w:rsidRDefault="00437CC2" w:rsidP="00437CC2">
      <w:pPr>
        <w:jc w:val="both"/>
        <w:rPr>
          <w:rFonts w:ascii="Times New Roman" w:hAnsi="Times New Roman" w:cs="Times New Roman"/>
          <w:color w:val="000000"/>
          <w:sz w:val="22"/>
          <w:szCs w:val="22"/>
        </w:rPr>
      </w:pPr>
      <w:r>
        <w:rPr>
          <w:rFonts w:ascii="Times New Roman" w:hAnsi="Times New Roman" w:cs="Times New Roman"/>
          <w:color w:val="000000"/>
          <w:sz w:val="22"/>
          <w:szCs w:val="22"/>
        </w:rPr>
        <w:t>39</w:t>
      </w:r>
      <w:r w:rsidRPr="00437CC2">
        <w:rPr>
          <w:rFonts w:ascii="Times New Roman" w:hAnsi="Times New Roman" w:cs="Times New Roman"/>
          <w:color w:val="000000"/>
          <w:sz w:val="22"/>
          <w:szCs w:val="22"/>
        </w:rPr>
        <w:t>. El Auditor debe presentar un informe borrador actualizado que tenga en cuenta los comentarios al Receptor Principal (y eventualmente al Fondo Mundial) dentro de los cinco días calendario posteriores a la recepción de los comentarios. El Receptor Principal proporcionaría comentarios al Auditor sobre el borrador del informe actualizado dentro de los cinco días calendario.</w:t>
      </w:r>
    </w:p>
    <w:p w14:paraId="6EFE26ED" w14:textId="710BDAF4" w:rsidR="009D5C43" w:rsidRDefault="00437CC2" w:rsidP="00437CC2">
      <w:pPr>
        <w:jc w:val="both"/>
        <w:rPr>
          <w:rFonts w:ascii="Times New Roman" w:hAnsi="Times New Roman" w:cs="Times New Roman"/>
          <w:color w:val="000000"/>
          <w:sz w:val="22"/>
          <w:szCs w:val="22"/>
        </w:rPr>
      </w:pPr>
      <w:r>
        <w:rPr>
          <w:rFonts w:ascii="Times New Roman" w:hAnsi="Times New Roman" w:cs="Times New Roman"/>
          <w:color w:val="000000"/>
          <w:sz w:val="22"/>
          <w:szCs w:val="22"/>
        </w:rPr>
        <w:t>40</w:t>
      </w:r>
      <w:r w:rsidRPr="00437CC2">
        <w:rPr>
          <w:rFonts w:ascii="Times New Roman" w:hAnsi="Times New Roman" w:cs="Times New Roman"/>
          <w:color w:val="000000"/>
          <w:sz w:val="22"/>
          <w:szCs w:val="22"/>
        </w:rPr>
        <w:t>. Si los comentarios del Receptor Principal no se reciben dentro de este plazo, el Auditor le recuerda al Receptor Principal hasta que se reciba una respuesta por escrito del Receptor Principal. En caso de retrasos excesivos por parte del Receptor Principal (más de diez días calendario), el Auditor debe comunicarse con el Fondo Mundial para encontrar una solución adecuada.</w:t>
      </w:r>
    </w:p>
    <w:p w14:paraId="6EDBC4DD" w14:textId="5311AFA6" w:rsidR="000654A8" w:rsidRDefault="000654A8" w:rsidP="00437CC2">
      <w:pPr>
        <w:jc w:val="both"/>
        <w:rPr>
          <w:rFonts w:ascii="Times New Roman" w:hAnsi="Times New Roman" w:cs="Times New Roman"/>
          <w:color w:val="000000"/>
          <w:sz w:val="22"/>
          <w:szCs w:val="22"/>
        </w:rPr>
      </w:pPr>
    </w:p>
    <w:p w14:paraId="688C62A5" w14:textId="7D478AEB" w:rsidR="000654A8" w:rsidRDefault="000654A8" w:rsidP="00437CC2">
      <w:pPr>
        <w:jc w:val="both"/>
        <w:rPr>
          <w:rFonts w:ascii="Times New Roman" w:hAnsi="Times New Roman" w:cs="Times New Roman"/>
          <w:b/>
          <w:bCs/>
          <w:color w:val="000000"/>
          <w:sz w:val="22"/>
          <w:szCs w:val="22"/>
        </w:rPr>
      </w:pPr>
      <w:r>
        <w:rPr>
          <w:rFonts w:ascii="Arial" w:hAnsi="Arial" w:cs="Arial"/>
          <w:sz w:val="28"/>
          <w:szCs w:val="28"/>
        </w:rPr>
        <w:t xml:space="preserve">    </w:t>
      </w:r>
      <w:r>
        <w:rPr>
          <w:rFonts w:ascii="Times New Roman" w:hAnsi="Times New Roman" w:cs="Times New Roman"/>
          <w:b/>
          <w:bCs/>
          <w:color w:val="000000"/>
          <w:sz w:val="22"/>
          <w:szCs w:val="22"/>
        </w:rPr>
        <w:t xml:space="preserve">11.4.2 Informe Final </w:t>
      </w:r>
    </w:p>
    <w:p w14:paraId="11906EED" w14:textId="77777777" w:rsidR="00AD0B06" w:rsidRDefault="00AD0B06" w:rsidP="000654A8">
      <w:pPr>
        <w:jc w:val="both"/>
        <w:rPr>
          <w:rFonts w:ascii="Times New Roman" w:hAnsi="Times New Roman" w:cs="Times New Roman"/>
          <w:sz w:val="22"/>
          <w:szCs w:val="22"/>
        </w:rPr>
      </w:pPr>
    </w:p>
    <w:p w14:paraId="185D0BEB" w14:textId="1C129FFD" w:rsidR="000654A8" w:rsidRPr="000654A8" w:rsidRDefault="000654A8" w:rsidP="000654A8">
      <w:pPr>
        <w:jc w:val="both"/>
        <w:rPr>
          <w:rFonts w:ascii="Times New Roman" w:hAnsi="Times New Roman" w:cs="Times New Roman"/>
          <w:sz w:val="22"/>
          <w:szCs w:val="22"/>
        </w:rPr>
      </w:pPr>
      <w:r>
        <w:rPr>
          <w:rFonts w:ascii="Times New Roman" w:hAnsi="Times New Roman" w:cs="Times New Roman"/>
          <w:sz w:val="22"/>
          <w:szCs w:val="22"/>
        </w:rPr>
        <w:t>41</w:t>
      </w:r>
      <w:r w:rsidRPr="000654A8">
        <w:rPr>
          <w:rFonts w:ascii="Times New Roman" w:hAnsi="Times New Roman" w:cs="Times New Roman"/>
          <w:sz w:val="22"/>
          <w:szCs w:val="22"/>
        </w:rPr>
        <w:t>. Una vez que el Auditor reciba los comentarios finales de los Receptores Principales, se espera que el informe final se emita dentro de los próximos cinco días calendario.</w:t>
      </w:r>
    </w:p>
    <w:p w14:paraId="0DC7653D" w14:textId="77777777" w:rsidR="00AD0B06" w:rsidRDefault="00AD0B06" w:rsidP="000654A8">
      <w:pPr>
        <w:jc w:val="both"/>
        <w:rPr>
          <w:rFonts w:ascii="Times New Roman" w:hAnsi="Times New Roman" w:cs="Times New Roman"/>
          <w:sz w:val="22"/>
          <w:szCs w:val="22"/>
        </w:rPr>
      </w:pPr>
    </w:p>
    <w:p w14:paraId="449EEEB8" w14:textId="00245B18" w:rsidR="000654A8" w:rsidRPr="000654A8" w:rsidRDefault="000654A8" w:rsidP="000654A8">
      <w:pPr>
        <w:jc w:val="both"/>
        <w:rPr>
          <w:rFonts w:ascii="Times New Roman" w:hAnsi="Times New Roman" w:cs="Times New Roman"/>
          <w:sz w:val="22"/>
          <w:szCs w:val="22"/>
        </w:rPr>
      </w:pPr>
      <w:r>
        <w:rPr>
          <w:rFonts w:ascii="Times New Roman" w:hAnsi="Times New Roman" w:cs="Times New Roman"/>
          <w:sz w:val="22"/>
          <w:szCs w:val="22"/>
        </w:rPr>
        <w:t>42</w:t>
      </w:r>
      <w:r w:rsidRPr="000654A8">
        <w:rPr>
          <w:rFonts w:ascii="Times New Roman" w:hAnsi="Times New Roman" w:cs="Times New Roman"/>
          <w:sz w:val="22"/>
          <w:szCs w:val="22"/>
        </w:rPr>
        <w:t>. El Auditor debe enviar tres copias impresas originales al Receptor Principal y una copia electrónica del informe final al Receptor Principal y al Fondo Mundial.</w:t>
      </w:r>
    </w:p>
    <w:p w14:paraId="09523E3F" w14:textId="77777777" w:rsidR="00AD0B06" w:rsidRDefault="00AD0B06" w:rsidP="000654A8">
      <w:pPr>
        <w:jc w:val="both"/>
        <w:rPr>
          <w:rFonts w:ascii="Times New Roman" w:hAnsi="Times New Roman" w:cs="Times New Roman"/>
          <w:sz w:val="22"/>
          <w:szCs w:val="22"/>
        </w:rPr>
      </w:pPr>
    </w:p>
    <w:p w14:paraId="3CA94B43" w14:textId="6EE95AEE" w:rsidR="000654A8" w:rsidRDefault="000654A8" w:rsidP="000654A8">
      <w:pPr>
        <w:jc w:val="both"/>
        <w:rPr>
          <w:rFonts w:ascii="Arial" w:hAnsi="Arial" w:cs="Arial"/>
          <w:sz w:val="28"/>
          <w:szCs w:val="28"/>
        </w:rPr>
      </w:pPr>
      <w:r>
        <w:rPr>
          <w:rFonts w:ascii="Times New Roman" w:hAnsi="Times New Roman" w:cs="Times New Roman"/>
          <w:sz w:val="22"/>
          <w:szCs w:val="22"/>
        </w:rPr>
        <w:t>43</w:t>
      </w:r>
      <w:r w:rsidRPr="000654A8">
        <w:rPr>
          <w:rFonts w:ascii="Times New Roman" w:hAnsi="Times New Roman" w:cs="Times New Roman"/>
          <w:sz w:val="22"/>
          <w:szCs w:val="22"/>
        </w:rPr>
        <w:t>. En cualquier caso, el Receptor Principal debe asegurarse de que el auditor envíe directamente al Fondo Mundial una copia electrónica de los informes</w:t>
      </w:r>
      <w:r w:rsidRPr="000654A8">
        <w:rPr>
          <w:rFonts w:ascii="Arial" w:hAnsi="Arial" w:cs="Arial"/>
          <w:sz w:val="28"/>
          <w:szCs w:val="28"/>
        </w:rPr>
        <w:t>.</w:t>
      </w:r>
    </w:p>
    <w:p w14:paraId="7B79AE8F" w14:textId="6CE9A6C7" w:rsidR="000654A8" w:rsidRDefault="000654A8" w:rsidP="000654A8">
      <w:pPr>
        <w:jc w:val="both"/>
        <w:rPr>
          <w:rFonts w:ascii="Arial" w:hAnsi="Arial" w:cs="Arial"/>
          <w:sz w:val="28"/>
          <w:szCs w:val="28"/>
        </w:rPr>
      </w:pPr>
    </w:p>
    <w:p w14:paraId="65F3E964" w14:textId="3FD32312" w:rsidR="000654A8" w:rsidRPr="000654A8" w:rsidRDefault="000654A8" w:rsidP="000654A8">
      <w:pPr>
        <w:jc w:val="both"/>
        <w:rPr>
          <w:rFonts w:ascii="Times New Roman" w:hAnsi="Times New Roman" w:cs="Times New Roman"/>
          <w:b/>
          <w:bCs/>
          <w:sz w:val="22"/>
          <w:szCs w:val="22"/>
        </w:rPr>
      </w:pPr>
      <w:r w:rsidRPr="000654A8">
        <w:rPr>
          <w:rFonts w:ascii="Times New Roman" w:hAnsi="Times New Roman" w:cs="Times New Roman"/>
          <w:b/>
          <w:bCs/>
          <w:sz w:val="22"/>
          <w:szCs w:val="22"/>
        </w:rPr>
        <w:t>1</w:t>
      </w:r>
      <w:r>
        <w:rPr>
          <w:rFonts w:ascii="Times New Roman" w:hAnsi="Times New Roman" w:cs="Times New Roman"/>
          <w:b/>
          <w:bCs/>
          <w:sz w:val="22"/>
          <w:szCs w:val="22"/>
        </w:rPr>
        <w:t>2</w:t>
      </w:r>
      <w:r w:rsidRPr="000654A8">
        <w:rPr>
          <w:rFonts w:ascii="Times New Roman" w:hAnsi="Times New Roman" w:cs="Times New Roman"/>
          <w:b/>
          <w:bCs/>
          <w:sz w:val="22"/>
          <w:szCs w:val="22"/>
        </w:rPr>
        <w:t xml:space="preserve">. </w:t>
      </w:r>
      <w:r>
        <w:rPr>
          <w:rFonts w:ascii="Times New Roman" w:hAnsi="Times New Roman" w:cs="Times New Roman"/>
          <w:b/>
          <w:bCs/>
          <w:sz w:val="22"/>
          <w:szCs w:val="22"/>
        </w:rPr>
        <w:t>Evaluación rotación y terminación del desempeño del auditor.</w:t>
      </w:r>
    </w:p>
    <w:p w14:paraId="1723889A" w14:textId="77777777" w:rsidR="00AD0B06" w:rsidRDefault="00AD0B06" w:rsidP="00914CD9">
      <w:pPr>
        <w:jc w:val="both"/>
        <w:rPr>
          <w:rFonts w:ascii="Times New Roman" w:hAnsi="Times New Roman" w:cs="Times New Roman"/>
          <w:color w:val="000000"/>
          <w:sz w:val="22"/>
          <w:szCs w:val="22"/>
        </w:rPr>
      </w:pPr>
    </w:p>
    <w:p w14:paraId="348EBEFA" w14:textId="0F56FC8E" w:rsidR="000654A8" w:rsidRDefault="000654A8" w:rsidP="00914CD9">
      <w:pPr>
        <w:jc w:val="both"/>
        <w:rPr>
          <w:rFonts w:ascii="Times New Roman" w:hAnsi="Times New Roman" w:cs="Times New Roman"/>
          <w:color w:val="000000"/>
          <w:sz w:val="22"/>
          <w:szCs w:val="22"/>
        </w:rPr>
      </w:pPr>
      <w:r>
        <w:rPr>
          <w:rFonts w:ascii="Times New Roman" w:hAnsi="Times New Roman" w:cs="Times New Roman"/>
          <w:color w:val="000000"/>
          <w:sz w:val="22"/>
          <w:szCs w:val="22"/>
        </w:rPr>
        <w:t>44</w:t>
      </w:r>
      <w:r w:rsidRPr="000654A8">
        <w:rPr>
          <w:rFonts w:ascii="Times New Roman" w:hAnsi="Times New Roman" w:cs="Times New Roman"/>
          <w:color w:val="000000"/>
          <w:sz w:val="22"/>
          <w:szCs w:val="22"/>
        </w:rPr>
        <w:t>. La auditoría debe referirse a las secciones relevantes de las Directrices del Fondo Mundial sobre auditoría de subvenciones con respecto a cómo se evaluará su desempeño y las implicaciones del mismo en el contrato.</w:t>
      </w:r>
    </w:p>
    <w:p w14:paraId="7DF69670" w14:textId="15BDA5FD" w:rsidR="000654A8" w:rsidRDefault="000654A8" w:rsidP="00914CD9">
      <w:pPr>
        <w:jc w:val="both"/>
        <w:rPr>
          <w:rFonts w:ascii="Times New Roman" w:hAnsi="Times New Roman" w:cs="Times New Roman"/>
          <w:color w:val="000000"/>
          <w:sz w:val="22"/>
          <w:szCs w:val="22"/>
        </w:rPr>
      </w:pPr>
    </w:p>
    <w:p w14:paraId="2795968E" w14:textId="77777777" w:rsidR="00AD0B06" w:rsidRDefault="00AD0B06" w:rsidP="00914CD9">
      <w:pPr>
        <w:jc w:val="both"/>
        <w:rPr>
          <w:rFonts w:ascii="Times New Roman" w:hAnsi="Times New Roman" w:cs="Times New Roman"/>
          <w:color w:val="000000"/>
          <w:sz w:val="22"/>
          <w:szCs w:val="22"/>
        </w:rPr>
      </w:pPr>
    </w:p>
    <w:p w14:paraId="709F6CF6" w14:textId="611B5A5F" w:rsidR="000654A8" w:rsidRPr="00077A67" w:rsidRDefault="000654A8" w:rsidP="000654A8">
      <w:pPr>
        <w:jc w:val="both"/>
        <w:rPr>
          <w:rFonts w:ascii="Times New Roman" w:hAnsi="Times New Roman" w:cs="Times New Roman"/>
          <w:b/>
          <w:bCs/>
          <w:color w:val="000000"/>
          <w:sz w:val="22"/>
          <w:szCs w:val="22"/>
        </w:rPr>
      </w:pPr>
      <w:r w:rsidRPr="00077A67">
        <w:rPr>
          <w:rFonts w:ascii="Times New Roman" w:hAnsi="Times New Roman" w:cs="Times New Roman"/>
          <w:b/>
          <w:bCs/>
          <w:color w:val="000000"/>
          <w:sz w:val="22"/>
          <w:szCs w:val="22"/>
        </w:rPr>
        <w:lastRenderedPageBreak/>
        <w:t>1</w:t>
      </w:r>
      <w:r>
        <w:rPr>
          <w:rFonts w:ascii="Times New Roman" w:hAnsi="Times New Roman" w:cs="Times New Roman"/>
          <w:b/>
          <w:bCs/>
          <w:color w:val="000000"/>
          <w:sz w:val="22"/>
          <w:szCs w:val="22"/>
        </w:rPr>
        <w:t>3</w:t>
      </w:r>
      <w:r w:rsidRPr="00077A67">
        <w:rPr>
          <w:rFonts w:ascii="Times New Roman" w:hAnsi="Times New Roman" w:cs="Times New Roman"/>
          <w:b/>
          <w:bCs/>
          <w:color w:val="000000"/>
          <w:sz w:val="22"/>
          <w:szCs w:val="22"/>
        </w:rPr>
        <w:t>. Información general</w:t>
      </w:r>
    </w:p>
    <w:p w14:paraId="2F240604" w14:textId="77777777" w:rsidR="000654A8" w:rsidRPr="00077A67" w:rsidRDefault="000654A8" w:rsidP="000654A8">
      <w:pPr>
        <w:jc w:val="both"/>
        <w:rPr>
          <w:rFonts w:ascii="Times New Roman" w:hAnsi="Times New Roman" w:cs="Times New Roman"/>
          <w:sz w:val="22"/>
          <w:szCs w:val="22"/>
        </w:rPr>
      </w:pPr>
    </w:p>
    <w:p w14:paraId="1407899E" w14:textId="032D8E5B" w:rsidR="000654A8" w:rsidRDefault="000654A8" w:rsidP="000654A8">
      <w:pPr>
        <w:jc w:val="both"/>
        <w:rPr>
          <w:rFonts w:ascii="Arial" w:hAnsi="Arial" w:cs="Arial"/>
          <w:sz w:val="28"/>
          <w:szCs w:val="28"/>
        </w:rPr>
      </w:pPr>
      <w:r>
        <w:rPr>
          <w:rFonts w:ascii="Times New Roman" w:hAnsi="Times New Roman" w:cs="Times New Roman"/>
          <w:color w:val="000000"/>
          <w:sz w:val="22"/>
          <w:szCs w:val="22"/>
        </w:rPr>
        <w:t xml:space="preserve">45. </w:t>
      </w:r>
      <w:r w:rsidRPr="000654A8">
        <w:rPr>
          <w:rFonts w:ascii="Times New Roman" w:hAnsi="Times New Roman" w:cs="Times New Roman"/>
          <w:color w:val="000000"/>
          <w:sz w:val="22"/>
          <w:szCs w:val="22"/>
        </w:rPr>
        <w:t>El Fondo Mundial debe recibir el informe de auditoría y la Carta de gestión adjunta, incluidas las respuestas del Receptor principal, dentro de los seis (6) meses posteriores al final del período de informe objeto de auditoría.</w:t>
      </w:r>
    </w:p>
    <w:p w14:paraId="003734CA" w14:textId="77777777" w:rsidR="000654A8" w:rsidRDefault="000654A8" w:rsidP="000654A8">
      <w:pPr>
        <w:jc w:val="both"/>
        <w:rPr>
          <w:rFonts w:ascii="Arial" w:hAnsi="Arial" w:cs="Arial"/>
          <w:sz w:val="28"/>
          <w:szCs w:val="28"/>
        </w:rPr>
      </w:pPr>
    </w:p>
    <w:p w14:paraId="3AE64C43" w14:textId="4E22177F" w:rsidR="00AB1293" w:rsidRPr="00817A41" w:rsidRDefault="00511DD4" w:rsidP="00817A41">
      <w:pPr>
        <w:pStyle w:val="Prrafodelista"/>
        <w:numPr>
          <w:ilvl w:val="0"/>
          <w:numId w:val="27"/>
        </w:numPr>
        <w:jc w:val="both"/>
        <w:rPr>
          <w:rFonts w:ascii="Times New Roman" w:hAnsi="Times New Roman" w:cs="Times New Roman"/>
          <w:color w:val="000000"/>
        </w:rPr>
      </w:pPr>
      <w:r w:rsidRPr="00817A41">
        <w:rPr>
          <w:rFonts w:ascii="Times New Roman" w:hAnsi="Times New Roman" w:cs="Times New Roman"/>
          <w:color w:val="000000"/>
        </w:rPr>
        <w:t>La firma auditora seleccionada debe contar con un acceso oportuno, completo y sin restricciones al sistema de gestión financiera del Receptor Principal (y de los subreceptores), así como a los registros contables, activos, propiedad y personal que puedan ayudar a clarificar cualquier cuestión relacionada con la auditoría.</w:t>
      </w:r>
    </w:p>
    <w:p w14:paraId="3008886C" w14:textId="77777777" w:rsidR="00AB1293" w:rsidRPr="00077A67" w:rsidRDefault="00AB1293" w:rsidP="00914CD9">
      <w:pPr>
        <w:jc w:val="both"/>
        <w:rPr>
          <w:rFonts w:ascii="Times New Roman" w:hAnsi="Times New Roman" w:cs="Times New Roman"/>
          <w:sz w:val="22"/>
          <w:szCs w:val="22"/>
        </w:rPr>
      </w:pPr>
    </w:p>
    <w:p w14:paraId="52666828" w14:textId="6943F633" w:rsidR="00AB1293" w:rsidRPr="00817A41" w:rsidRDefault="00511DD4" w:rsidP="00817A41">
      <w:pPr>
        <w:pStyle w:val="Prrafodelista"/>
        <w:numPr>
          <w:ilvl w:val="0"/>
          <w:numId w:val="27"/>
        </w:numPr>
        <w:jc w:val="both"/>
        <w:rPr>
          <w:rFonts w:ascii="Times New Roman" w:hAnsi="Times New Roman" w:cs="Times New Roman"/>
          <w:color w:val="000000"/>
        </w:rPr>
      </w:pPr>
      <w:r w:rsidRPr="00817A41">
        <w:rPr>
          <w:rFonts w:ascii="Times New Roman" w:hAnsi="Times New Roman" w:cs="Times New Roman"/>
          <w:color w:val="000000"/>
        </w:rPr>
        <w:t xml:space="preserve"> Para ayudar a la firma auditora seleccionada a planificar la auditoría, el Receptor Principal pondrá a su disposición como mínimo los documentos e información que se presentan a continuación. Se recomienda encarecidamente que los auditores se</w:t>
      </w:r>
      <w:r w:rsidR="00BF4752" w:rsidRPr="00817A41">
        <w:rPr>
          <w:rFonts w:ascii="Times New Roman" w:hAnsi="Times New Roman" w:cs="Times New Roman"/>
          <w:color w:val="000000"/>
        </w:rPr>
        <w:t xml:space="preserve"> </w:t>
      </w:r>
      <w:r w:rsidRPr="00817A41">
        <w:rPr>
          <w:rFonts w:ascii="Times New Roman" w:hAnsi="Times New Roman" w:cs="Times New Roman"/>
          <w:color w:val="000000"/>
        </w:rPr>
        <w:t xml:space="preserve">familiaricen con lo siguiente como parte de los requisitos de auditoría a fin </w:t>
      </w:r>
      <w:r w:rsidR="00BF4752" w:rsidRPr="00817A41">
        <w:rPr>
          <w:rFonts w:ascii="Times New Roman" w:hAnsi="Times New Roman" w:cs="Times New Roman"/>
          <w:color w:val="000000"/>
        </w:rPr>
        <w:t xml:space="preserve">de </w:t>
      </w:r>
      <w:r w:rsidRPr="00817A41">
        <w:rPr>
          <w:rFonts w:ascii="Times New Roman" w:hAnsi="Times New Roman" w:cs="Times New Roman"/>
          <w:color w:val="000000"/>
        </w:rPr>
        <w:t>comprender la naturaleza de las operaciones de la entidad:</w:t>
      </w:r>
    </w:p>
    <w:p w14:paraId="3DB6A6F7" w14:textId="77777777" w:rsidR="00AB1293" w:rsidRPr="00077A67" w:rsidRDefault="00AB1293" w:rsidP="00914CD9">
      <w:pPr>
        <w:jc w:val="both"/>
        <w:rPr>
          <w:rFonts w:ascii="Times New Roman" w:hAnsi="Times New Roman" w:cs="Times New Roman"/>
          <w:sz w:val="22"/>
          <w:szCs w:val="22"/>
        </w:rPr>
      </w:pPr>
    </w:p>
    <w:p w14:paraId="08B400D9" w14:textId="32122096" w:rsidR="00AB1293" w:rsidRPr="00817A41" w:rsidRDefault="00511DD4" w:rsidP="00817A41">
      <w:pPr>
        <w:pStyle w:val="Prrafodelista"/>
        <w:numPr>
          <w:ilvl w:val="0"/>
          <w:numId w:val="29"/>
        </w:numPr>
        <w:rPr>
          <w:rFonts w:ascii="Times New Roman" w:hAnsi="Times New Roman" w:cs="Times New Roman"/>
          <w:color w:val="0000FF"/>
        </w:rPr>
      </w:pPr>
      <w:r w:rsidRPr="00817A41">
        <w:rPr>
          <w:rFonts w:ascii="Times New Roman" w:hAnsi="Times New Roman" w:cs="Times New Roman"/>
          <w:color w:val="000000"/>
        </w:rPr>
        <w:t xml:space="preserve">Directrices para realizar auditorías anuales de los estados financieros de los programas de subvenciones del FondoMundial: </w:t>
      </w:r>
      <w:r w:rsidR="00301D84" w:rsidRPr="00817A41">
        <w:rPr>
          <w:rFonts w:ascii="Times New Roman" w:hAnsi="Times New Roman" w:cs="Times New Roman"/>
          <w:color w:val="0000FF"/>
        </w:rPr>
        <w:t>https://www.theglobalfund.org/media/10079/core_annualauditsoffinancialstatements_guideline_es.pdf?u=637356166200500000</w:t>
      </w:r>
    </w:p>
    <w:p w14:paraId="062A10F5" w14:textId="77777777" w:rsidR="00FF327B" w:rsidRPr="00077A67" w:rsidRDefault="00FF327B" w:rsidP="00817A41">
      <w:pPr>
        <w:jc w:val="both"/>
        <w:rPr>
          <w:rFonts w:ascii="Times New Roman" w:hAnsi="Times New Roman" w:cs="Times New Roman"/>
          <w:sz w:val="22"/>
          <w:szCs w:val="22"/>
        </w:rPr>
      </w:pPr>
    </w:p>
    <w:p w14:paraId="7C91274C" w14:textId="0AD0F462"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Los acuerdos de subvención entre el Receptor Principal y el Fondo Mundial y los acuerdos de sub-subvención convenidos con los subreceptores. Cualquier correspondencia del Fondo Mundial en la que se apruebe una reprogramación del presupuesto relativa al año auditado.</w:t>
      </w:r>
    </w:p>
    <w:p w14:paraId="679D7DBA" w14:textId="77777777" w:rsidR="00AB1293" w:rsidRPr="00077A67" w:rsidRDefault="00AB1293" w:rsidP="00817A41">
      <w:pPr>
        <w:jc w:val="both"/>
        <w:rPr>
          <w:rFonts w:ascii="Times New Roman" w:hAnsi="Times New Roman" w:cs="Times New Roman"/>
          <w:sz w:val="22"/>
          <w:szCs w:val="22"/>
        </w:rPr>
      </w:pPr>
    </w:p>
    <w:p w14:paraId="1FED30CC" w14:textId="70601B80"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Actualizaciones de progresos (PU/DR) y cartas de gestión. Se debe obtener confirmación de los montos desembolsados y pendientes del Fondo Mundial.</w:t>
      </w:r>
    </w:p>
    <w:p w14:paraId="6975CEFC" w14:textId="77777777" w:rsidR="00AB1293" w:rsidRPr="00077A67" w:rsidRDefault="00AB1293" w:rsidP="00817A41">
      <w:pPr>
        <w:jc w:val="both"/>
        <w:rPr>
          <w:rFonts w:ascii="Times New Roman" w:hAnsi="Times New Roman" w:cs="Times New Roman"/>
          <w:sz w:val="22"/>
          <w:szCs w:val="22"/>
        </w:rPr>
      </w:pPr>
    </w:p>
    <w:p w14:paraId="67928152" w14:textId="34AF6E27"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Informe Financiero Mejorado (EFR, por sus siglas en inglés).</w:t>
      </w:r>
    </w:p>
    <w:p w14:paraId="7A781694" w14:textId="77777777" w:rsidR="00AB1293" w:rsidRPr="00077A67" w:rsidRDefault="00AB1293" w:rsidP="00817A41">
      <w:pPr>
        <w:jc w:val="both"/>
        <w:rPr>
          <w:rFonts w:ascii="Times New Roman" w:hAnsi="Times New Roman" w:cs="Times New Roman"/>
          <w:sz w:val="22"/>
          <w:szCs w:val="22"/>
        </w:rPr>
      </w:pPr>
    </w:p>
    <w:p w14:paraId="6C072C44" w14:textId="0E3E7F85"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 xml:space="preserve">Directrices para elaborar presupuestos de programas del Fondo Mundial: </w:t>
      </w:r>
      <w:r w:rsidR="00FF327B" w:rsidRPr="00817A41">
        <w:rPr>
          <w:rFonts w:ascii="Times New Roman" w:hAnsi="Times New Roman" w:cs="Times New Roman"/>
          <w:color w:val="0000FF"/>
        </w:rPr>
        <w:t xml:space="preserve">https://www.theglobalfund.org/media/6042/core_annualauditsoffinancialstatements_guideline_es.pdf?u=636486806820000000 </w:t>
      </w:r>
      <w:r w:rsidRPr="00817A41">
        <w:rPr>
          <w:rFonts w:ascii="Times New Roman" w:hAnsi="Times New Roman" w:cs="Times New Roman"/>
          <w:color w:val="000000"/>
        </w:rPr>
        <w:t xml:space="preserve">(en </w:t>
      </w:r>
      <w:r w:rsidR="00FF327B" w:rsidRPr="00817A41">
        <w:rPr>
          <w:rFonts w:ascii="Times New Roman" w:hAnsi="Times New Roman" w:cs="Times New Roman"/>
          <w:color w:val="000000"/>
        </w:rPr>
        <w:t>español</w:t>
      </w:r>
      <w:r w:rsidRPr="00817A41">
        <w:rPr>
          <w:rFonts w:ascii="Times New Roman" w:hAnsi="Times New Roman" w:cs="Times New Roman"/>
          <w:color w:val="000000"/>
        </w:rPr>
        <w:t>)</w:t>
      </w:r>
    </w:p>
    <w:p w14:paraId="6A3A1A52" w14:textId="77777777" w:rsidR="00AB1293" w:rsidRPr="00077A67" w:rsidRDefault="00AB1293" w:rsidP="00817A41">
      <w:pPr>
        <w:jc w:val="both"/>
        <w:rPr>
          <w:rFonts w:ascii="Times New Roman" w:hAnsi="Times New Roman" w:cs="Times New Roman"/>
          <w:sz w:val="22"/>
          <w:szCs w:val="22"/>
        </w:rPr>
      </w:pPr>
    </w:p>
    <w:p w14:paraId="5210B21A" w14:textId="25575293"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Manuales aprobados de finanzas, adquisiciones, gestión de subreceptores y otros manuales pertinentes del Receptor Principal.</w:t>
      </w:r>
    </w:p>
    <w:p w14:paraId="658D6204" w14:textId="77777777" w:rsidR="00AB1293" w:rsidRPr="00077A67" w:rsidRDefault="00AB1293" w:rsidP="00817A41">
      <w:pPr>
        <w:jc w:val="both"/>
        <w:rPr>
          <w:rFonts w:ascii="Times New Roman" w:hAnsi="Times New Roman" w:cs="Times New Roman"/>
          <w:sz w:val="22"/>
          <w:szCs w:val="22"/>
        </w:rPr>
      </w:pPr>
    </w:p>
    <w:p w14:paraId="7BF613BC" w14:textId="50B80941" w:rsidR="00AB1293" w:rsidRPr="00817A41" w:rsidRDefault="00511DD4" w:rsidP="00817A41">
      <w:pPr>
        <w:pStyle w:val="Prrafodelista"/>
        <w:numPr>
          <w:ilvl w:val="0"/>
          <w:numId w:val="29"/>
        </w:numPr>
        <w:jc w:val="both"/>
        <w:rPr>
          <w:rFonts w:ascii="Times New Roman" w:hAnsi="Times New Roman" w:cs="Times New Roman"/>
          <w:color w:val="000000"/>
        </w:rPr>
      </w:pPr>
      <w:r w:rsidRPr="00817A41">
        <w:rPr>
          <w:rFonts w:ascii="Times New Roman" w:hAnsi="Times New Roman" w:cs="Times New Roman"/>
          <w:color w:val="000000"/>
        </w:rPr>
        <w:t xml:space="preserve">Se recomienda asimismo familiarizarse con la propuesta/nota conceptual bajo la que se está ejecutando la subvención. Las propuestas están disponibles en el siguiente enlace </w:t>
      </w:r>
      <w:r w:rsidRPr="00817A41">
        <w:rPr>
          <w:rFonts w:ascii="Times New Roman" w:hAnsi="Times New Roman" w:cs="Times New Roman"/>
          <w:color w:val="0000FF"/>
        </w:rPr>
        <w:t>Portafolio de subvenciones – El Fondo Mundial de lucha contra el SIDA, la tuberculosis y la malaria</w:t>
      </w:r>
      <w:r w:rsidRPr="00817A41">
        <w:rPr>
          <w:rFonts w:ascii="Times New Roman" w:hAnsi="Times New Roman" w:cs="Times New Roman"/>
          <w:color w:val="000000"/>
        </w:rPr>
        <w:t>, dentro de l</w:t>
      </w:r>
      <w:r w:rsidR="00817A41">
        <w:rPr>
          <w:rFonts w:ascii="Times New Roman" w:hAnsi="Times New Roman" w:cs="Times New Roman"/>
          <w:color w:val="000000"/>
        </w:rPr>
        <w:t>a página de cada país correspondiente</w:t>
      </w:r>
      <w:r w:rsidRPr="00817A41">
        <w:rPr>
          <w:rFonts w:ascii="Times New Roman" w:hAnsi="Times New Roman" w:cs="Times New Roman"/>
          <w:color w:val="000000"/>
        </w:rPr>
        <w:t>.</w:t>
      </w:r>
    </w:p>
    <w:p w14:paraId="2A5FFCCC" w14:textId="77777777" w:rsidR="00AB1293" w:rsidRPr="00077A67" w:rsidRDefault="00AB1293" w:rsidP="00914CD9">
      <w:pPr>
        <w:jc w:val="both"/>
        <w:rPr>
          <w:rFonts w:ascii="Times New Roman" w:hAnsi="Times New Roman" w:cs="Times New Roman"/>
          <w:sz w:val="22"/>
          <w:szCs w:val="22"/>
        </w:rPr>
      </w:pPr>
    </w:p>
    <w:p w14:paraId="3F71EE5C" w14:textId="6F854934" w:rsidR="00AB1293" w:rsidRDefault="00B4535A" w:rsidP="00914CD9">
      <w:pPr>
        <w:jc w:val="both"/>
        <w:rPr>
          <w:rFonts w:ascii="Times New Roman" w:hAnsi="Times New Roman" w:cs="Times New Roman"/>
          <w:color w:val="000000"/>
          <w:sz w:val="22"/>
          <w:szCs w:val="22"/>
        </w:rPr>
      </w:pPr>
      <w:r>
        <w:rPr>
          <w:rFonts w:ascii="Times New Roman" w:hAnsi="Times New Roman" w:cs="Times New Roman"/>
          <w:color w:val="000000"/>
          <w:sz w:val="22"/>
          <w:szCs w:val="22"/>
        </w:rPr>
        <w:t>46</w:t>
      </w:r>
      <w:r w:rsidR="00511DD4" w:rsidRPr="00077A67">
        <w:rPr>
          <w:rFonts w:ascii="Times New Roman" w:hAnsi="Times New Roman" w:cs="Times New Roman"/>
          <w:color w:val="000000"/>
          <w:sz w:val="22"/>
          <w:szCs w:val="22"/>
        </w:rPr>
        <w:t>. Se insta encarecidamente a los auditores a contactar con el Agente Local del Fondo antes de elaborar el plan de auditoría con el fin de que este pueda destacar cualquier deficiencia clave o áreas de preocupación de antemano. Durante el transcurso de la auditoría, se recomienda a los auditores contactar con el Agente Local del Fondo siempre que sea necesario para obtener cualquier información o aclaración adicional.</w:t>
      </w:r>
    </w:p>
    <w:p w14:paraId="065E4097" w14:textId="77777777" w:rsidR="009D5C43" w:rsidRDefault="009D5C43" w:rsidP="00914CD9">
      <w:pPr>
        <w:jc w:val="both"/>
        <w:rPr>
          <w:rFonts w:ascii="Times New Roman" w:hAnsi="Times New Roman" w:cs="Times New Roman"/>
          <w:color w:val="000000"/>
          <w:sz w:val="22"/>
          <w:szCs w:val="22"/>
        </w:rPr>
      </w:pPr>
    </w:p>
    <w:p w14:paraId="6476AFA9" w14:textId="48847505" w:rsidR="00AB1293" w:rsidRPr="009D5C43" w:rsidRDefault="00B4535A" w:rsidP="00B4535A">
      <w:pPr>
        <w:rPr>
          <w:rFonts w:ascii="Times New Roman" w:hAnsi="Times New Roman" w:cs="Times New Roman"/>
          <w:b/>
          <w:sz w:val="22"/>
          <w:szCs w:val="22"/>
        </w:rPr>
      </w:pPr>
      <w:r>
        <w:rPr>
          <w:rFonts w:ascii="Times New Roman" w:hAnsi="Times New Roman" w:cs="Times New Roman"/>
          <w:b/>
          <w:sz w:val="22"/>
          <w:szCs w:val="22"/>
        </w:rPr>
        <w:t xml:space="preserve">13.1 </w:t>
      </w:r>
      <w:r w:rsidR="00511DD4" w:rsidRPr="009D5C43">
        <w:rPr>
          <w:rFonts w:ascii="Times New Roman" w:hAnsi="Times New Roman" w:cs="Times New Roman"/>
          <w:b/>
          <w:sz w:val="22"/>
          <w:szCs w:val="22"/>
        </w:rPr>
        <w:t>Directrices generales para la carta de gestión</w:t>
      </w:r>
    </w:p>
    <w:p w14:paraId="383DD165" w14:textId="77777777" w:rsidR="00AB1293" w:rsidRPr="00077A67" w:rsidRDefault="00AB1293" w:rsidP="00914CD9">
      <w:pPr>
        <w:jc w:val="both"/>
        <w:rPr>
          <w:rFonts w:ascii="Times New Roman" w:hAnsi="Times New Roman" w:cs="Times New Roman"/>
          <w:sz w:val="22"/>
          <w:szCs w:val="22"/>
        </w:rPr>
      </w:pPr>
    </w:p>
    <w:p w14:paraId="3696D1DB" w14:textId="77777777" w:rsidR="00AB1293" w:rsidRPr="00077A67" w:rsidRDefault="00511DD4" w:rsidP="00914CD9">
      <w:pPr>
        <w:jc w:val="both"/>
        <w:rPr>
          <w:rFonts w:ascii="Times New Roman" w:hAnsi="Times New Roman" w:cs="Times New Roman"/>
          <w:color w:val="000000"/>
          <w:sz w:val="22"/>
          <w:szCs w:val="22"/>
        </w:rPr>
      </w:pPr>
      <w:r w:rsidRPr="00077A67">
        <w:rPr>
          <w:rFonts w:ascii="Times New Roman" w:hAnsi="Times New Roman" w:cs="Times New Roman"/>
          <w:color w:val="000000"/>
          <w:sz w:val="22"/>
          <w:szCs w:val="22"/>
        </w:rPr>
        <w:t>La siguiente es una guía general sobre los elementos esenciales de la carta de gestión, por lo que no debe verse como una lista exhaustiva de requisitos. Para obtener más orientación, se pueden consultar los siguientes recursos del Consejo de Normas Internacionales de Auditoría y Aseguramiento:</w:t>
      </w:r>
    </w:p>
    <w:p w14:paraId="52FD80F2" w14:textId="77777777" w:rsidR="00AB1293" w:rsidRPr="00077A67" w:rsidRDefault="00AB1293" w:rsidP="00914CD9">
      <w:pPr>
        <w:jc w:val="both"/>
        <w:rPr>
          <w:rFonts w:ascii="Times New Roman" w:hAnsi="Times New Roman" w:cs="Times New Roman"/>
          <w:sz w:val="22"/>
          <w:szCs w:val="22"/>
        </w:rPr>
      </w:pPr>
    </w:p>
    <w:p w14:paraId="62489B34" w14:textId="77777777" w:rsidR="00AB1293" w:rsidRPr="00077A67" w:rsidRDefault="00511DD4" w:rsidP="00914CD9">
      <w:pPr>
        <w:ind w:left="680"/>
        <w:jc w:val="both"/>
        <w:rPr>
          <w:rFonts w:ascii="Times New Roman" w:hAnsi="Times New Roman" w:cs="Times New Roman"/>
          <w:color w:val="000000"/>
          <w:sz w:val="22"/>
          <w:szCs w:val="22"/>
        </w:rPr>
      </w:pPr>
      <w:r w:rsidRPr="00077A67">
        <w:rPr>
          <w:rFonts w:ascii="Times New Roman" w:hAnsi="Times New Roman" w:cs="Times New Roman"/>
          <w:color w:val="0000FF"/>
          <w:sz w:val="22"/>
          <w:szCs w:val="22"/>
        </w:rPr>
        <w:t xml:space="preserve">i. </w:t>
      </w:r>
      <w:r w:rsidRPr="00077A67">
        <w:rPr>
          <w:rFonts w:ascii="Times New Roman" w:hAnsi="Times New Roman" w:cs="Times New Roman"/>
          <w:color w:val="000000"/>
          <w:sz w:val="22"/>
          <w:szCs w:val="22"/>
        </w:rPr>
        <w:t xml:space="preserve">Normas para comunicar problemas en la carta de gestión a los responsables de la gobernanza de una entidad: </w:t>
      </w:r>
      <w:r w:rsidRPr="00077A67">
        <w:rPr>
          <w:rFonts w:ascii="Times New Roman" w:hAnsi="Times New Roman" w:cs="Times New Roman"/>
          <w:color w:val="0000FF"/>
          <w:sz w:val="22"/>
          <w:szCs w:val="22"/>
        </w:rPr>
        <w:t xml:space="preserve">http://web.ifac.org/download/ISA_260_standalone_2009_Handbook.pdf </w:t>
      </w:r>
      <w:r w:rsidRPr="00077A67">
        <w:rPr>
          <w:rFonts w:ascii="Times New Roman" w:hAnsi="Times New Roman" w:cs="Times New Roman"/>
          <w:color w:val="000000"/>
          <w:sz w:val="22"/>
          <w:szCs w:val="22"/>
        </w:rPr>
        <w:t>(en inglés)</w:t>
      </w:r>
    </w:p>
    <w:p w14:paraId="16770B2F" w14:textId="77777777" w:rsidR="00AB1293" w:rsidRPr="00077A67" w:rsidRDefault="00AB1293" w:rsidP="00914CD9">
      <w:pPr>
        <w:jc w:val="both"/>
        <w:rPr>
          <w:rFonts w:ascii="Times New Roman" w:hAnsi="Times New Roman" w:cs="Times New Roman"/>
          <w:sz w:val="22"/>
          <w:szCs w:val="22"/>
        </w:rPr>
      </w:pPr>
    </w:p>
    <w:p w14:paraId="6FF4D620" w14:textId="77777777" w:rsidR="00AB1293" w:rsidRPr="00077A67" w:rsidRDefault="00511DD4" w:rsidP="00914CD9">
      <w:pPr>
        <w:ind w:left="680"/>
        <w:jc w:val="both"/>
        <w:rPr>
          <w:rFonts w:ascii="Times New Roman" w:hAnsi="Times New Roman" w:cs="Times New Roman"/>
          <w:color w:val="000000"/>
          <w:sz w:val="22"/>
          <w:szCs w:val="22"/>
        </w:rPr>
      </w:pPr>
      <w:r w:rsidRPr="00077A67">
        <w:rPr>
          <w:rFonts w:ascii="Times New Roman" w:hAnsi="Times New Roman" w:cs="Times New Roman"/>
          <w:color w:val="000000"/>
          <w:sz w:val="22"/>
          <w:szCs w:val="22"/>
        </w:rPr>
        <w:t xml:space="preserve">ii. Normas para informar de deficiencias en el control interno: </w:t>
      </w:r>
      <w:r w:rsidRPr="00077A67">
        <w:rPr>
          <w:rFonts w:ascii="Times New Roman" w:hAnsi="Times New Roman" w:cs="Times New Roman"/>
          <w:color w:val="0000FF"/>
          <w:sz w:val="22"/>
          <w:szCs w:val="22"/>
        </w:rPr>
        <w:t xml:space="preserve">http://web.ifac.org/download/ISA_265_standalone_2009_Handbook.pdf </w:t>
      </w:r>
      <w:r w:rsidRPr="00077A67">
        <w:rPr>
          <w:rFonts w:ascii="Times New Roman" w:hAnsi="Times New Roman" w:cs="Times New Roman"/>
          <w:color w:val="000000"/>
          <w:sz w:val="22"/>
          <w:szCs w:val="22"/>
        </w:rPr>
        <w:t>(en inglés)</w:t>
      </w:r>
    </w:p>
    <w:p w14:paraId="1EC7717A" w14:textId="77777777" w:rsidR="00AB1293" w:rsidRPr="00077A67" w:rsidRDefault="00AB1293" w:rsidP="00914CD9">
      <w:pPr>
        <w:jc w:val="both"/>
        <w:rPr>
          <w:rFonts w:ascii="Times New Roman" w:hAnsi="Times New Roman" w:cs="Times New Roman"/>
          <w:sz w:val="22"/>
          <w:szCs w:val="22"/>
        </w:rPr>
      </w:pPr>
    </w:p>
    <w:p w14:paraId="645925DE" w14:textId="77777777" w:rsidR="00AB1293" w:rsidRPr="00077A67" w:rsidRDefault="00511DD4" w:rsidP="00914CD9">
      <w:pPr>
        <w:jc w:val="both"/>
        <w:rPr>
          <w:rFonts w:ascii="Times New Roman" w:hAnsi="Times New Roman" w:cs="Times New Roman"/>
          <w:color w:val="000000"/>
          <w:sz w:val="22"/>
          <w:szCs w:val="22"/>
        </w:rPr>
      </w:pPr>
      <w:r w:rsidRPr="00077A67">
        <w:rPr>
          <w:rFonts w:ascii="Times New Roman" w:hAnsi="Times New Roman" w:cs="Times New Roman"/>
          <w:color w:val="000000"/>
          <w:sz w:val="22"/>
          <w:szCs w:val="22"/>
        </w:rPr>
        <w:t xml:space="preserve">En el caso de auditores del sector público o del gobierno (por ejemplo, las Entidades Fiscalizadoras Superiores), las directrices pueden extraerse de las normas de INTOSAI. (Véase el Capítulo 4 del Código de Ética y Normas de Auditoría de INTOSAI, titulado </w:t>
      </w:r>
      <w:r w:rsidRPr="00077A67">
        <w:rPr>
          <w:rFonts w:ascii="Times New Roman" w:hAnsi="Times New Roman" w:cs="Times New Roman"/>
          <w:b/>
          <w:bCs/>
          <w:color w:val="000000"/>
          <w:sz w:val="22"/>
          <w:szCs w:val="22"/>
        </w:rPr>
        <w:t>Normas para la presentación de informes en auditorías gubernamentales</w:t>
      </w:r>
      <w:r w:rsidRPr="00077A67">
        <w:rPr>
          <w:rFonts w:ascii="Times New Roman" w:hAnsi="Times New Roman" w:cs="Times New Roman"/>
          <w:color w:val="000000"/>
          <w:sz w:val="22"/>
          <w:szCs w:val="22"/>
        </w:rPr>
        <w:t>.</w:t>
      </w:r>
    </w:p>
    <w:p w14:paraId="4B0E999A" w14:textId="77777777" w:rsidR="00AB1293" w:rsidRPr="00077A67" w:rsidRDefault="00511DD4" w:rsidP="00914CD9">
      <w:pPr>
        <w:jc w:val="both"/>
        <w:rPr>
          <w:rFonts w:ascii="Times New Roman" w:hAnsi="Times New Roman" w:cs="Times New Roman"/>
          <w:color w:val="000000"/>
          <w:sz w:val="22"/>
          <w:szCs w:val="22"/>
        </w:rPr>
      </w:pPr>
      <w:r w:rsidRPr="00077A67">
        <w:rPr>
          <w:rFonts w:ascii="Times New Roman" w:hAnsi="Times New Roman" w:cs="Times New Roman"/>
          <w:color w:val="000000"/>
          <w:sz w:val="22"/>
          <w:szCs w:val="22"/>
        </w:rPr>
        <w:t>http://intosai.connexcc-</w:t>
      </w:r>
      <w:r w:rsidRPr="00077A67">
        <w:rPr>
          <w:rFonts w:ascii="Times New Roman" w:hAnsi="Times New Roman" w:cs="Times New Roman"/>
          <w:color w:val="0000FF"/>
          <w:sz w:val="22"/>
          <w:szCs w:val="22"/>
        </w:rPr>
        <w:t xml:space="preserve">hosting.net/blueline/upload/1codethaudstande.pdf) </w:t>
      </w:r>
      <w:r w:rsidRPr="00077A67">
        <w:rPr>
          <w:rFonts w:ascii="Times New Roman" w:hAnsi="Times New Roman" w:cs="Times New Roman"/>
          <w:color w:val="000000"/>
          <w:sz w:val="22"/>
          <w:szCs w:val="22"/>
        </w:rPr>
        <w:t>(en inglés).</w:t>
      </w:r>
    </w:p>
    <w:p w14:paraId="0A278EA0" w14:textId="77777777" w:rsidR="00AB1293" w:rsidRPr="00077A67" w:rsidRDefault="00AB1293" w:rsidP="00914CD9">
      <w:pPr>
        <w:jc w:val="both"/>
        <w:rPr>
          <w:rFonts w:ascii="Times New Roman" w:hAnsi="Times New Roman" w:cs="Times New Roman"/>
          <w:sz w:val="22"/>
          <w:szCs w:val="22"/>
        </w:rPr>
      </w:pPr>
    </w:p>
    <w:p w14:paraId="2A975642" w14:textId="77777777" w:rsidR="00AB1293" w:rsidRPr="00077A67" w:rsidRDefault="00511DD4" w:rsidP="00914CD9">
      <w:pPr>
        <w:jc w:val="both"/>
        <w:rPr>
          <w:rFonts w:ascii="Times New Roman" w:hAnsi="Times New Roman" w:cs="Times New Roman"/>
          <w:color w:val="000000"/>
          <w:sz w:val="22"/>
          <w:szCs w:val="22"/>
        </w:rPr>
      </w:pPr>
      <w:r w:rsidRPr="00077A67">
        <w:rPr>
          <w:rFonts w:ascii="Times New Roman" w:hAnsi="Times New Roman" w:cs="Times New Roman"/>
          <w:color w:val="000000"/>
          <w:sz w:val="22"/>
          <w:szCs w:val="22"/>
        </w:rPr>
        <w:t>El formato típico de una carta de gestión es el siguiente:</w:t>
      </w:r>
    </w:p>
    <w:p w14:paraId="0AD4FC6B" w14:textId="77777777" w:rsidR="00AB1293" w:rsidRPr="00077A67" w:rsidRDefault="00AB1293" w:rsidP="00914CD9">
      <w:pPr>
        <w:jc w:val="both"/>
        <w:rPr>
          <w:rFonts w:ascii="Times New Roman" w:hAnsi="Times New Roman" w:cs="Times New Roman"/>
          <w:sz w:val="22"/>
          <w:szCs w:val="22"/>
        </w:rPr>
      </w:pPr>
    </w:p>
    <w:p w14:paraId="27E45191"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ESTRICTAMENTE PRIVADO Y CONFIDENCIAL</w:t>
      </w:r>
    </w:p>
    <w:p w14:paraId="7D19E018" w14:textId="77777777" w:rsidR="00AB1293" w:rsidRPr="00077A67" w:rsidRDefault="00AB1293" w:rsidP="00914CD9">
      <w:pPr>
        <w:jc w:val="both"/>
        <w:rPr>
          <w:rFonts w:ascii="Times New Roman" w:hAnsi="Times New Roman" w:cs="Times New Roman"/>
          <w:sz w:val="22"/>
          <w:szCs w:val="22"/>
        </w:rPr>
      </w:pPr>
    </w:p>
    <w:p w14:paraId="64B6F04D"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[Debe señalarse claramente que la carta de gestión es un documento confidencial, y debe tratarse como tal, con arreglo a la política del Fondo Mundial.]</w:t>
      </w:r>
    </w:p>
    <w:p w14:paraId="592DB647" w14:textId="77777777" w:rsidR="00AB1293" w:rsidRPr="00077A67" w:rsidRDefault="00AB1293" w:rsidP="00914CD9">
      <w:pPr>
        <w:jc w:val="both"/>
        <w:rPr>
          <w:rFonts w:ascii="Times New Roman" w:hAnsi="Times New Roman" w:cs="Times New Roman"/>
          <w:sz w:val="22"/>
          <w:szCs w:val="22"/>
        </w:rPr>
      </w:pPr>
    </w:p>
    <w:p w14:paraId="49B6A8BF" w14:textId="3428BA75"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[La carta de gestión debe especificar que el auditor reconoce y acepta que la carta de gestión se compartirá con el Fondo Mundial y con el Agente Local del Fondo de forma confidencial. Sin embargo, el destinatario de la carta es el</w:t>
      </w:r>
      <w:r w:rsidR="00FF327B">
        <w:rPr>
          <w:rFonts w:ascii="Times New Roman" w:hAnsi="Times New Roman" w:cs="Times New Roman"/>
          <w:sz w:val="22"/>
          <w:szCs w:val="22"/>
        </w:rPr>
        <w:t xml:space="preserve"> Receptor Principal/Subreceptor</w:t>
      </w:r>
      <w:r w:rsidRPr="00077A67">
        <w:rPr>
          <w:rFonts w:ascii="Times New Roman" w:hAnsi="Times New Roman" w:cs="Times New Roman"/>
          <w:sz w:val="22"/>
          <w:szCs w:val="22"/>
        </w:rPr>
        <w:t>]</w:t>
      </w:r>
    </w:p>
    <w:p w14:paraId="7F7470E3" w14:textId="77777777" w:rsidR="00AB1293" w:rsidRPr="00077A67" w:rsidRDefault="00AB1293" w:rsidP="00914CD9">
      <w:pPr>
        <w:jc w:val="both"/>
        <w:rPr>
          <w:rFonts w:ascii="Times New Roman" w:hAnsi="Times New Roman" w:cs="Times New Roman"/>
          <w:sz w:val="22"/>
          <w:szCs w:val="22"/>
        </w:rPr>
      </w:pPr>
    </w:p>
    <w:p w14:paraId="311BBBF0"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(Nombre del Receptor Principal) - CARTA DE GESTIÓN PARA LA AUDITORÍA DE LOS ESTADOS FINANCIEROS PARA EL AÑO FINALIZADO……. (Introducir fecha del año finalizado)</w:t>
      </w:r>
    </w:p>
    <w:p w14:paraId="1005A940" w14:textId="77777777" w:rsidR="00AB1293" w:rsidRPr="00077A67" w:rsidRDefault="00AB1293" w:rsidP="00914CD9">
      <w:pPr>
        <w:jc w:val="both"/>
        <w:rPr>
          <w:rFonts w:ascii="Times New Roman" w:hAnsi="Times New Roman" w:cs="Times New Roman"/>
          <w:sz w:val="22"/>
          <w:szCs w:val="22"/>
        </w:rPr>
      </w:pPr>
    </w:p>
    <w:p w14:paraId="443AC588"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[Se facilita información general sobre el marco de auditoría aplicable que se empleó en la auditoría de los estados financieros objeto de la presente carta de gestión.]</w:t>
      </w:r>
    </w:p>
    <w:p w14:paraId="1DB8BE9C" w14:textId="77777777" w:rsidR="00AB1293" w:rsidRPr="00077A67" w:rsidRDefault="00AB1293" w:rsidP="00914CD9">
      <w:pPr>
        <w:jc w:val="both"/>
        <w:rPr>
          <w:rFonts w:ascii="Times New Roman" w:hAnsi="Times New Roman" w:cs="Times New Roman"/>
          <w:sz w:val="22"/>
          <w:szCs w:val="22"/>
        </w:rPr>
      </w:pPr>
    </w:p>
    <w:p w14:paraId="53753618" w14:textId="4AFE9C0D"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[El objetivo de la auditoría de los estados financieros debe definirse aquí, que es la expresión de un dictamen sobre los estados financieros. Asimismo, una breve descripción del método empleado al realizar la auditoría en lo que respecta al uso de pruebas como bas</w:t>
      </w:r>
      <w:r w:rsidR="00910CC8">
        <w:rPr>
          <w:rFonts w:ascii="Times New Roman" w:hAnsi="Times New Roman" w:cs="Times New Roman"/>
          <w:sz w:val="22"/>
          <w:szCs w:val="22"/>
        </w:rPr>
        <w:t>e para examinar la evidencia que respalda</w:t>
      </w:r>
      <w:r w:rsidR="002E2BAD">
        <w:rPr>
          <w:rFonts w:ascii="Times New Roman" w:hAnsi="Times New Roman" w:cs="Times New Roman"/>
          <w:sz w:val="22"/>
          <w:szCs w:val="22"/>
        </w:rPr>
        <w:t xml:space="preserve"> </w:t>
      </w:r>
      <w:r w:rsidRPr="00077A67">
        <w:rPr>
          <w:rFonts w:ascii="Times New Roman" w:hAnsi="Times New Roman" w:cs="Times New Roman"/>
          <w:sz w:val="22"/>
          <w:szCs w:val="22"/>
        </w:rPr>
        <w:t>los montos y declaraciones contenidos en los estados financieros, entre otros.]</w:t>
      </w:r>
    </w:p>
    <w:p w14:paraId="52A9253D" w14:textId="77777777" w:rsidR="00AB1293" w:rsidRPr="00077A67" w:rsidRDefault="00AB1293" w:rsidP="00914CD9">
      <w:pPr>
        <w:jc w:val="both"/>
        <w:rPr>
          <w:rFonts w:ascii="Times New Roman" w:hAnsi="Times New Roman" w:cs="Times New Roman"/>
          <w:sz w:val="22"/>
          <w:szCs w:val="22"/>
        </w:rPr>
      </w:pPr>
    </w:p>
    <w:p w14:paraId="3E066BED"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[Se debe ofrecer una explicación del objetivo de la carta de gestión en lo que respecta al valor añadido en su provisión de gestión para la mejora de los sistemas y procesos de la organización, contribuyendo a la consecución de objetivos organizativos más amplios.]</w:t>
      </w:r>
    </w:p>
    <w:p w14:paraId="176749FA" w14:textId="77777777" w:rsidR="00AB1293" w:rsidRPr="00077A67" w:rsidRDefault="00AB1293" w:rsidP="00914CD9">
      <w:pPr>
        <w:jc w:val="both"/>
        <w:rPr>
          <w:rFonts w:ascii="Times New Roman" w:hAnsi="Times New Roman" w:cs="Times New Roman"/>
          <w:sz w:val="22"/>
          <w:szCs w:val="22"/>
        </w:rPr>
      </w:pPr>
    </w:p>
    <w:p w14:paraId="708DBE5B"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[Debe facilitarse una descripción del sistema de calificación de los problemas o conclusiones de la carta de gestión para que el Receptor Principal pueda priorizar mejor la ejecución de las recomendaciones que emanan de dichas conclusiones. Se recomienda el siguiente sistema de calificación:</w:t>
      </w:r>
    </w:p>
    <w:p w14:paraId="08CC8E4A" w14:textId="77777777" w:rsidR="00AB1293" w:rsidRPr="00077A67" w:rsidRDefault="00AB1293" w:rsidP="00914CD9">
      <w:pPr>
        <w:jc w:val="both"/>
        <w:rPr>
          <w:rFonts w:ascii="Times New Roman" w:hAnsi="Times New Roman" w:cs="Times New Roman"/>
          <w:sz w:val="22"/>
          <w:szCs w:val="22"/>
        </w:rPr>
      </w:pPr>
    </w:p>
    <w:p w14:paraId="2A7B6FA5"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Las conclusiones de grado I son aquellas que son especialmente importantes y probablemente se requiera la participación de la dirección para su resolución. Se trata de cuestiones de alto nivel que impactan gravemente en la consecución de los objetivos generales de la subvención.</w:t>
      </w:r>
    </w:p>
    <w:p w14:paraId="5C76E0B6" w14:textId="77777777" w:rsidR="00AB1293" w:rsidRPr="00077A67" w:rsidRDefault="00AB1293" w:rsidP="00914CD9">
      <w:pPr>
        <w:jc w:val="both"/>
        <w:rPr>
          <w:rFonts w:ascii="Times New Roman" w:hAnsi="Times New Roman" w:cs="Times New Roman"/>
          <w:sz w:val="22"/>
          <w:szCs w:val="22"/>
        </w:rPr>
      </w:pPr>
    </w:p>
    <w:p w14:paraId="579782CD"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Las conclusiones de grado II son aquellas que pueden tener una repercusión significativa en el entorno de control. Aquí el entorno de control se centra en los factores de riesgo derivados de la actitud de la dirección frente a riesgos en lo que respecta a las actividades operativas dentro de la organización del Receptor Principal/Subreceptor.</w:t>
      </w:r>
    </w:p>
    <w:p w14:paraId="6A81E6C2" w14:textId="77777777" w:rsidR="00AB1293" w:rsidRPr="00077A67" w:rsidRDefault="00AB1293" w:rsidP="00914CD9">
      <w:pPr>
        <w:jc w:val="both"/>
        <w:rPr>
          <w:rFonts w:ascii="Times New Roman" w:hAnsi="Times New Roman" w:cs="Times New Roman"/>
          <w:sz w:val="22"/>
          <w:szCs w:val="22"/>
        </w:rPr>
      </w:pPr>
    </w:p>
    <w:p w14:paraId="147E9D16"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 xml:space="preserve">Las conclusiones de grado III son aquellas que son menos importantes que las de grado I y II pero que también </w:t>
      </w:r>
      <w:r w:rsidRPr="00077A67">
        <w:rPr>
          <w:rFonts w:ascii="Times New Roman" w:hAnsi="Times New Roman" w:cs="Times New Roman"/>
          <w:sz w:val="22"/>
          <w:szCs w:val="22"/>
        </w:rPr>
        <w:lastRenderedPageBreak/>
        <w:t>merecen atención.</w:t>
      </w:r>
    </w:p>
    <w:p w14:paraId="585D0B17" w14:textId="77777777" w:rsidR="00AB1293" w:rsidRPr="00077A67" w:rsidRDefault="00AB1293" w:rsidP="00914CD9">
      <w:pPr>
        <w:jc w:val="both"/>
        <w:rPr>
          <w:rFonts w:ascii="Times New Roman" w:hAnsi="Times New Roman" w:cs="Times New Roman"/>
          <w:sz w:val="22"/>
          <w:szCs w:val="22"/>
        </w:rPr>
      </w:pPr>
    </w:p>
    <w:p w14:paraId="047F50BE"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Para cada conclusión:</w:t>
      </w:r>
    </w:p>
    <w:p w14:paraId="23494545" w14:textId="77777777" w:rsidR="00AB1293" w:rsidRPr="00077A67" w:rsidRDefault="00AB1293" w:rsidP="00914CD9">
      <w:pPr>
        <w:jc w:val="both"/>
        <w:rPr>
          <w:rFonts w:ascii="Times New Roman" w:hAnsi="Times New Roman" w:cs="Times New Roman"/>
          <w:sz w:val="22"/>
          <w:szCs w:val="22"/>
        </w:rPr>
      </w:pPr>
    </w:p>
    <w:p w14:paraId="4CF31D0A"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1.0 [Breve encabezado por conclusión y grado I, II o III según corresponda]</w:t>
      </w:r>
    </w:p>
    <w:p w14:paraId="25ADF295" w14:textId="77777777" w:rsidR="00AB1293" w:rsidRPr="00077A67" w:rsidRDefault="00AB1293" w:rsidP="00914CD9">
      <w:pPr>
        <w:jc w:val="both"/>
        <w:rPr>
          <w:rFonts w:ascii="Times New Roman" w:hAnsi="Times New Roman" w:cs="Times New Roman"/>
          <w:sz w:val="22"/>
          <w:szCs w:val="22"/>
        </w:rPr>
      </w:pPr>
    </w:p>
    <w:p w14:paraId="1D4011D4"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[Si existe un criterio (o varios, como puede ser el caso) que sea el objeto del incumplimiento por parte del Receptor Principal/Subreceptor, este debe reflejarse o citarse según corresponda. Un criterio se define como cualquier ley, política, reglamento o marco que una entidad auditora debe cumplir para poder realizar sus actividades. Cualquier desviación o el incumplimiento total de dicho criterio desembocarán en una conclusión. En algunos casos, los criterios no estarán presentes por lo que no será necesario reflejarlos aquí.]</w:t>
      </w:r>
    </w:p>
    <w:p w14:paraId="3DF8A15F" w14:textId="77777777" w:rsidR="00AB1293" w:rsidRPr="00077A67" w:rsidRDefault="00AB1293" w:rsidP="00914CD9">
      <w:pPr>
        <w:jc w:val="both"/>
        <w:rPr>
          <w:rFonts w:ascii="Times New Roman" w:hAnsi="Times New Roman" w:cs="Times New Roman"/>
          <w:sz w:val="22"/>
          <w:szCs w:val="22"/>
        </w:rPr>
      </w:pPr>
    </w:p>
    <w:p w14:paraId="06538B90" w14:textId="7777777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1.1 CONCLUSIÓN</w:t>
      </w:r>
    </w:p>
    <w:p w14:paraId="4E1DC2D1" w14:textId="77777777" w:rsidR="00AB1293" w:rsidRPr="00077A67" w:rsidRDefault="00AB1293" w:rsidP="00914CD9">
      <w:pPr>
        <w:jc w:val="both"/>
        <w:rPr>
          <w:rFonts w:ascii="Times New Roman" w:hAnsi="Times New Roman" w:cs="Times New Roman"/>
          <w:sz w:val="22"/>
          <w:szCs w:val="22"/>
        </w:rPr>
      </w:pPr>
    </w:p>
    <w:p w14:paraId="66C7ABE8"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[Aquí se describe la condición o el problema que podría ser resultado del incumplimiento de un criterio. Debe ser coherente con el nivel de calificación previamente indicado. Cuando sea posible, se debe indicar la razón/justificación del incumplimiento del criterio o los factores responsables del problema planteado, bien sea en un párrafo o sección independiente bajo CONCLUSIÓN.]</w:t>
      </w:r>
    </w:p>
    <w:p w14:paraId="151AD746" w14:textId="77777777" w:rsidR="00AB1293" w:rsidRPr="00077A67" w:rsidRDefault="00AB1293" w:rsidP="00914CD9">
      <w:pPr>
        <w:jc w:val="both"/>
        <w:rPr>
          <w:rFonts w:ascii="Times New Roman" w:hAnsi="Times New Roman" w:cs="Times New Roman"/>
          <w:sz w:val="22"/>
          <w:szCs w:val="22"/>
        </w:rPr>
      </w:pPr>
    </w:p>
    <w:p w14:paraId="41C152CD" w14:textId="7777777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1.2 IMPLICACIÓN</w:t>
      </w:r>
    </w:p>
    <w:p w14:paraId="3092490E" w14:textId="77777777" w:rsidR="00AB1293" w:rsidRPr="00077A67" w:rsidRDefault="00AB1293" w:rsidP="00914CD9">
      <w:pPr>
        <w:jc w:val="both"/>
        <w:rPr>
          <w:rFonts w:ascii="Times New Roman" w:hAnsi="Times New Roman" w:cs="Times New Roman"/>
          <w:b/>
          <w:bCs/>
          <w:sz w:val="22"/>
          <w:szCs w:val="22"/>
        </w:rPr>
      </w:pPr>
    </w:p>
    <w:p w14:paraId="77097BF8"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[Aquí debe indicarse claramente el efecto de la conclusión desde una perspectiva financiera y no financiera ya que ofrecerá a la entidad del Receptor Principal/Subreceptor una mejor comprensión para formular una respuesta de gestión sólida y un plan de acción para ejecutar las recomendaciones.]</w:t>
      </w:r>
    </w:p>
    <w:p w14:paraId="41E5C9C9" w14:textId="77777777" w:rsidR="00AB1293" w:rsidRPr="00077A67" w:rsidRDefault="00AB1293" w:rsidP="00914CD9">
      <w:pPr>
        <w:jc w:val="both"/>
        <w:rPr>
          <w:rFonts w:ascii="Times New Roman" w:hAnsi="Times New Roman" w:cs="Times New Roman"/>
          <w:sz w:val="22"/>
          <w:szCs w:val="22"/>
        </w:rPr>
      </w:pPr>
    </w:p>
    <w:p w14:paraId="277B050E" w14:textId="7777777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1.3 RECOMENDACIÓN</w:t>
      </w:r>
    </w:p>
    <w:p w14:paraId="357DA62E" w14:textId="77777777" w:rsidR="00AB1293" w:rsidRPr="00077A67" w:rsidRDefault="00AB1293" w:rsidP="00914CD9">
      <w:pPr>
        <w:jc w:val="both"/>
        <w:rPr>
          <w:rFonts w:ascii="Times New Roman" w:hAnsi="Times New Roman" w:cs="Times New Roman"/>
          <w:b/>
          <w:bCs/>
          <w:sz w:val="22"/>
          <w:szCs w:val="22"/>
        </w:rPr>
      </w:pPr>
    </w:p>
    <w:p w14:paraId="305D001D"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[En esta categoría deben incluirse las recomendaciones prácticas relativas a las conclusiones de</w:t>
      </w:r>
    </w:p>
    <w:p w14:paraId="7ADA245C"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1.1. Las recomendaciones deben eliminar o reducir los efectos identificados en 1.2 (hasta un nivel aceptable) de forma que no repercutan negativamente en la ejecución de la subvención tras su inicio por parte de la gestión del Receptor Principal/Subreceptor.)</w:t>
      </w:r>
    </w:p>
    <w:p w14:paraId="1DB1D6BC" w14:textId="77777777" w:rsidR="00AB1293" w:rsidRPr="00077A67" w:rsidRDefault="00AB1293" w:rsidP="00914CD9">
      <w:pPr>
        <w:jc w:val="both"/>
        <w:rPr>
          <w:rFonts w:ascii="Times New Roman" w:hAnsi="Times New Roman" w:cs="Times New Roman"/>
          <w:sz w:val="22"/>
          <w:szCs w:val="22"/>
        </w:rPr>
      </w:pPr>
    </w:p>
    <w:p w14:paraId="4A87A0C5" w14:textId="7777777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1.4 BENEFICIOS</w:t>
      </w:r>
    </w:p>
    <w:p w14:paraId="502F816E" w14:textId="77777777" w:rsidR="00AB1293" w:rsidRPr="00077A67" w:rsidRDefault="00AB1293" w:rsidP="00914CD9">
      <w:pPr>
        <w:jc w:val="both"/>
        <w:rPr>
          <w:rFonts w:ascii="Times New Roman" w:hAnsi="Times New Roman" w:cs="Times New Roman"/>
          <w:sz w:val="22"/>
          <w:szCs w:val="22"/>
        </w:rPr>
      </w:pPr>
    </w:p>
    <w:p w14:paraId="498526F6"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[Aquí deben destacarse los beneficios de ejecutar las recomendaciones de 1.3 desde una perspectiva financiera y no financiera. El uso de datos financieros en términos de, por ejemplo, ahorro, debe también incluirse aquí.]</w:t>
      </w:r>
    </w:p>
    <w:p w14:paraId="14348895" w14:textId="77777777" w:rsidR="00AB1293" w:rsidRPr="00077A67" w:rsidRDefault="00AB1293" w:rsidP="00914CD9">
      <w:pPr>
        <w:jc w:val="both"/>
        <w:rPr>
          <w:rFonts w:ascii="Times New Roman" w:hAnsi="Times New Roman" w:cs="Times New Roman"/>
          <w:sz w:val="22"/>
          <w:szCs w:val="22"/>
        </w:rPr>
      </w:pPr>
    </w:p>
    <w:p w14:paraId="3E686E1B" w14:textId="77777777" w:rsidR="00AB1293" w:rsidRPr="00077A67" w:rsidRDefault="00511DD4" w:rsidP="00914CD9">
      <w:pPr>
        <w:jc w:val="both"/>
        <w:rPr>
          <w:rFonts w:ascii="Times New Roman" w:hAnsi="Times New Roman" w:cs="Times New Roman"/>
          <w:b/>
          <w:bCs/>
          <w:sz w:val="22"/>
          <w:szCs w:val="22"/>
        </w:rPr>
      </w:pPr>
      <w:r w:rsidRPr="00077A67">
        <w:rPr>
          <w:rFonts w:ascii="Times New Roman" w:hAnsi="Times New Roman" w:cs="Times New Roman"/>
          <w:b/>
          <w:bCs/>
          <w:sz w:val="22"/>
          <w:szCs w:val="22"/>
        </w:rPr>
        <w:t>1.5 RESPUESTA DE GESTIÓN</w:t>
      </w:r>
    </w:p>
    <w:p w14:paraId="4754E191" w14:textId="77777777" w:rsidR="00AB1293" w:rsidRPr="00077A67" w:rsidRDefault="00AB1293" w:rsidP="00914CD9">
      <w:pPr>
        <w:jc w:val="both"/>
        <w:rPr>
          <w:rFonts w:ascii="Times New Roman" w:hAnsi="Times New Roman" w:cs="Times New Roman"/>
          <w:sz w:val="22"/>
          <w:szCs w:val="22"/>
        </w:rPr>
      </w:pPr>
    </w:p>
    <w:p w14:paraId="1E5E56C3"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[Se requiere a los receptores principales/subreceptores que indiquen hasta qué punto están de acuerdo o discrepan de la conclusión indicada previamente. También deben indicar si están de acuerdo o discrepan del resto de elementos de la carta de gestión (por ejemplo, de 1.2 a 1.4), esgrimiendo las razones de su acuerdo o desacuerdo.</w:t>
      </w:r>
    </w:p>
    <w:p w14:paraId="24333D93" w14:textId="77777777" w:rsidR="00AB1293" w:rsidRPr="00077A67" w:rsidRDefault="00AB1293" w:rsidP="00914CD9">
      <w:pPr>
        <w:jc w:val="both"/>
        <w:rPr>
          <w:rFonts w:ascii="Times New Roman" w:hAnsi="Times New Roman" w:cs="Times New Roman"/>
          <w:sz w:val="22"/>
          <w:szCs w:val="22"/>
        </w:rPr>
      </w:pPr>
    </w:p>
    <w:p w14:paraId="5CCDF5DC"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Como parte de la respuesta de gestión, el Receptor Principal debe elaborar un plan de acción para abordar cualquier recomendación pertinente que emane de las auditorías del Receptor Principal y el Subreceptor.</w:t>
      </w:r>
    </w:p>
    <w:p w14:paraId="645DE15F" w14:textId="77777777" w:rsidR="00AB1293" w:rsidRPr="00077A67" w:rsidRDefault="00AB1293" w:rsidP="00914CD9">
      <w:pPr>
        <w:jc w:val="both"/>
        <w:rPr>
          <w:rFonts w:ascii="Times New Roman" w:hAnsi="Times New Roman" w:cs="Times New Roman"/>
          <w:sz w:val="22"/>
          <w:szCs w:val="22"/>
        </w:rPr>
      </w:pPr>
    </w:p>
    <w:p w14:paraId="009BDB4C" w14:textId="77777777" w:rsidR="00AB1293" w:rsidRPr="00077A67" w:rsidRDefault="00511DD4" w:rsidP="00914CD9">
      <w:pPr>
        <w:jc w:val="both"/>
        <w:rPr>
          <w:rFonts w:ascii="Times New Roman" w:hAnsi="Times New Roman" w:cs="Times New Roman"/>
          <w:sz w:val="22"/>
          <w:szCs w:val="22"/>
        </w:rPr>
      </w:pPr>
      <w:r w:rsidRPr="00077A67">
        <w:rPr>
          <w:rFonts w:ascii="Times New Roman" w:hAnsi="Times New Roman" w:cs="Times New Roman"/>
          <w:sz w:val="22"/>
          <w:szCs w:val="22"/>
        </w:rPr>
        <w:t>Finalmente, todas las cartas de gestión deben contener una sección de “Problemas detectados en auditorías previas” en forma de tabla que servirá como herramienta de seguimiento para determinar el estado de ejecución de las recomendaciones.]</w:t>
      </w:r>
    </w:p>
    <w:p w14:paraId="7638A7A8" w14:textId="77777777" w:rsidR="00AB1293" w:rsidRPr="00077A67" w:rsidRDefault="00AB1293" w:rsidP="00914CD9">
      <w:pPr>
        <w:jc w:val="both"/>
        <w:rPr>
          <w:rFonts w:ascii="Times New Roman" w:hAnsi="Times New Roman" w:cs="Times New Roman"/>
          <w:sz w:val="22"/>
          <w:szCs w:val="22"/>
        </w:rPr>
      </w:pPr>
    </w:p>
    <w:p w14:paraId="7684C8F2" w14:textId="77777777" w:rsidR="00AB1293" w:rsidRPr="00077A67" w:rsidRDefault="00AB1293" w:rsidP="00914CD9">
      <w:pPr>
        <w:jc w:val="both"/>
        <w:rPr>
          <w:rFonts w:ascii="Times New Roman" w:hAnsi="Times New Roman" w:cs="Times New Roman"/>
          <w:sz w:val="22"/>
          <w:szCs w:val="22"/>
        </w:rPr>
      </w:pPr>
    </w:p>
    <w:p w14:paraId="5F1DED77" w14:textId="77777777" w:rsidR="00AB1293" w:rsidRPr="00077A67" w:rsidRDefault="00AB1293">
      <w:pPr>
        <w:rPr>
          <w:rFonts w:ascii="Times New Roman" w:hAnsi="Times New Roman" w:cs="Times New Roman"/>
          <w:sz w:val="22"/>
          <w:szCs w:val="22"/>
        </w:rPr>
        <w:sectPr w:rsidR="00AB1293" w:rsidRPr="00077A67" w:rsidSect="00C1185E">
          <w:footerReference w:type="default" r:id="rId12"/>
          <w:pgSz w:w="12240" w:h="15840"/>
          <w:pgMar w:top="1134" w:right="1134" w:bottom="1604" w:left="1134" w:header="0" w:footer="358" w:gutter="0"/>
          <w:cols w:space="720"/>
          <w:formProt w:val="0"/>
          <w:docGrid w:linePitch="312" w:charSpace="-6145"/>
        </w:sectPr>
      </w:pPr>
    </w:p>
    <w:p w14:paraId="1A2BCA52"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lastRenderedPageBreak/>
        <w:t>PROBLEMAS DETECTADOS EN AUDITORÍAS PREVIAS</w:t>
      </w:r>
    </w:p>
    <w:p w14:paraId="1CFD6855" w14:textId="77777777" w:rsidR="00AB1293" w:rsidRPr="00077A67" w:rsidRDefault="00AB1293">
      <w:pPr>
        <w:rPr>
          <w:rFonts w:ascii="Times New Roman" w:hAnsi="Times New Roman" w:cs="Times New Roman"/>
          <w:sz w:val="22"/>
          <w:szCs w:val="22"/>
        </w:rPr>
      </w:pPr>
    </w:p>
    <w:tbl>
      <w:tblPr>
        <w:tblW w:w="15168" w:type="dxa"/>
        <w:tblInd w:w="-996" w:type="dxa"/>
        <w:tblBorders>
          <w:top w:val="single" w:sz="2" w:space="0" w:color="000000"/>
          <w:left w:val="single" w:sz="2" w:space="0" w:color="000000"/>
          <w:bottom w:val="single" w:sz="2" w:space="0" w:color="000000"/>
          <w:right w:val="nil"/>
          <w:insideH w:val="single" w:sz="2" w:space="0" w:color="000000"/>
          <w:insideV w:val="nil"/>
        </w:tblBorders>
        <w:tblCellMar>
          <w:top w:w="55" w:type="dxa"/>
          <w:left w:w="54" w:type="dxa"/>
          <w:bottom w:w="55" w:type="dxa"/>
          <w:right w:w="55" w:type="dxa"/>
        </w:tblCellMar>
        <w:tblLook w:val="04A0" w:firstRow="1" w:lastRow="0" w:firstColumn="1" w:lastColumn="0" w:noHBand="0" w:noVBand="1"/>
      </w:tblPr>
      <w:tblGrid>
        <w:gridCol w:w="3120"/>
        <w:gridCol w:w="2395"/>
        <w:gridCol w:w="2849"/>
        <w:gridCol w:w="3686"/>
        <w:gridCol w:w="3118"/>
      </w:tblGrid>
      <w:tr w:rsidR="00AB1293" w:rsidRPr="00077A67" w14:paraId="6B87B5AE" w14:textId="77777777" w:rsidTr="00AD66A6">
        <w:tc>
          <w:tcPr>
            <w:tcW w:w="3120" w:type="dxa"/>
            <w:tcBorders>
              <w:top w:val="single" w:sz="2" w:space="0" w:color="000000"/>
              <w:left w:val="single" w:sz="2" w:space="0" w:color="000000"/>
              <w:bottom w:val="single" w:sz="2" w:space="0" w:color="000000"/>
              <w:right w:val="nil"/>
            </w:tcBorders>
            <w:shd w:val="clear" w:color="auto" w:fill="auto"/>
            <w:tcMar>
              <w:left w:w="54" w:type="dxa"/>
            </w:tcMar>
          </w:tcPr>
          <w:p w14:paraId="409855BA"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 xml:space="preserve"> Período cubierto por la auditoría</w:t>
            </w:r>
          </w:p>
        </w:tc>
        <w:tc>
          <w:tcPr>
            <w:tcW w:w="2395" w:type="dxa"/>
            <w:tcBorders>
              <w:top w:val="single" w:sz="2" w:space="0" w:color="000000"/>
              <w:left w:val="single" w:sz="2" w:space="0" w:color="000000"/>
              <w:bottom w:val="single" w:sz="2" w:space="0" w:color="000000"/>
              <w:right w:val="nil"/>
            </w:tcBorders>
            <w:shd w:val="clear" w:color="auto" w:fill="auto"/>
            <w:tcMar>
              <w:left w:w="54" w:type="dxa"/>
            </w:tcMar>
          </w:tcPr>
          <w:p w14:paraId="2F1D9A09"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Problema</w:t>
            </w:r>
          </w:p>
          <w:p w14:paraId="1DAB2077"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(por ejemplo, conclusiones identificadas)</w:t>
            </w:r>
          </w:p>
        </w:tc>
        <w:tc>
          <w:tcPr>
            <w:tcW w:w="2849" w:type="dxa"/>
            <w:tcBorders>
              <w:top w:val="single" w:sz="2" w:space="0" w:color="000000"/>
              <w:left w:val="single" w:sz="2" w:space="0" w:color="000000"/>
              <w:bottom w:val="single" w:sz="2" w:space="0" w:color="000000"/>
              <w:right w:val="nil"/>
            </w:tcBorders>
            <w:shd w:val="clear" w:color="auto" w:fill="auto"/>
            <w:tcMar>
              <w:left w:w="54" w:type="dxa"/>
            </w:tcMar>
          </w:tcPr>
          <w:p w14:paraId="49093CDD"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Recomendaciones</w:t>
            </w:r>
          </w:p>
        </w:tc>
        <w:tc>
          <w:tcPr>
            <w:tcW w:w="3686" w:type="dxa"/>
            <w:tcBorders>
              <w:top w:val="single" w:sz="2" w:space="0" w:color="000000"/>
              <w:left w:val="single" w:sz="2" w:space="0" w:color="000000"/>
              <w:bottom w:val="single" w:sz="2" w:space="0" w:color="000000"/>
              <w:right w:val="nil"/>
            </w:tcBorders>
            <w:shd w:val="clear" w:color="auto" w:fill="auto"/>
            <w:tcMar>
              <w:left w:w="54" w:type="dxa"/>
            </w:tcMar>
          </w:tcPr>
          <w:p w14:paraId="0270B6A4"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Estado de ejecución</w:t>
            </w:r>
          </w:p>
        </w:tc>
        <w:tc>
          <w:tcPr>
            <w:tcW w:w="311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91B6894" w14:textId="77777777" w:rsidR="00AB1293" w:rsidRPr="00077A67" w:rsidRDefault="00511DD4">
            <w:pPr>
              <w:jc w:val="center"/>
              <w:rPr>
                <w:rFonts w:ascii="Times New Roman" w:hAnsi="Times New Roman" w:cs="Times New Roman"/>
                <w:sz w:val="22"/>
                <w:szCs w:val="22"/>
              </w:rPr>
            </w:pPr>
            <w:r w:rsidRPr="00077A67">
              <w:rPr>
                <w:rFonts w:ascii="Times New Roman" w:hAnsi="Times New Roman" w:cs="Times New Roman"/>
                <w:sz w:val="22"/>
                <w:szCs w:val="22"/>
              </w:rPr>
              <w:t>Comentarios</w:t>
            </w:r>
          </w:p>
        </w:tc>
      </w:tr>
      <w:tr w:rsidR="00AB1293" w:rsidRPr="00077A67" w14:paraId="11CD258A" w14:textId="77777777" w:rsidTr="00AD0B06">
        <w:trPr>
          <w:trHeight w:val="2844"/>
        </w:trPr>
        <w:tc>
          <w:tcPr>
            <w:tcW w:w="3120" w:type="dxa"/>
            <w:tcBorders>
              <w:top w:val="nil"/>
              <w:left w:val="single" w:sz="2" w:space="0" w:color="000000"/>
              <w:bottom w:val="single" w:sz="2" w:space="0" w:color="000000"/>
              <w:right w:val="nil"/>
            </w:tcBorders>
            <w:shd w:val="clear" w:color="auto" w:fill="auto"/>
            <w:tcMar>
              <w:left w:w="54" w:type="dxa"/>
            </w:tcMar>
          </w:tcPr>
          <w:p w14:paraId="5051C2BB"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Aquí se incluye el período cubierto por la auditoría: debe seguir un orden cronológico, de año en año.</w:t>
            </w:r>
          </w:p>
        </w:tc>
        <w:tc>
          <w:tcPr>
            <w:tcW w:w="2395" w:type="dxa"/>
            <w:tcBorders>
              <w:top w:val="nil"/>
              <w:left w:val="single" w:sz="2" w:space="0" w:color="000000"/>
              <w:bottom w:val="single" w:sz="2" w:space="0" w:color="000000"/>
              <w:right w:val="nil"/>
            </w:tcBorders>
            <w:shd w:val="clear" w:color="auto" w:fill="auto"/>
            <w:tcMar>
              <w:left w:w="54" w:type="dxa"/>
            </w:tcMar>
          </w:tcPr>
          <w:p w14:paraId="6BA856C6"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Aquí se incluyen las conclusiones de auditorías previas. Dichas conclusiones deben citarse literalmente o reproducirse a partir de la carta de gestión correspondiente.</w:t>
            </w:r>
          </w:p>
        </w:tc>
        <w:tc>
          <w:tcPr>
            <w:tcW w:w="2849" w:type="dxa"/>
            <w:tcBorders>
              <w:top w:val="nil"/>
              <w:left w:val="single" w:sz="2" w:space="0" w:color="000000"/>
              <w:bottom w:val="single" w:sz="2" w:space="0" w:color="000000"/>
              <w:right w:val="nil"/>
            </w:tcBorders>
            <w:shd w:val="clear" w:color="auto" w:fill="auto"/>
            <w:tcMar>
              <w:left w:w="54" w:type="dxa"/>
            </w:tcMar>
          </w:tcPr>
          <w:p w14:paraId="3415D7C7"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Aquí se incluyen las recomendaciones relacionadas con las conclusiones de la columna anterior mediante citas literales de la carta de gestión pertinente.</w:t>
            </w:r>
          </w:p>
        </w:tc>
        <w:tc>
          <w:tcPr>
            <w:tcW w:w="3686" w:type="dxa"/>
            <w:tcBorders>
              <w:top w:val="nil"/>
              <w:left w:val="single" w:sz="2" w:space="0" w:color="000000"/>
              <w:bottom w:val="single" w:sz="2" w:space="0" w:color="000000"/>
              <w:right w:val="nil"/>
            </w:tcBorders>
            <w:shd w:val="clear" w:color="auto" w:fill="auto"/>
            <w:tcMar>
              <w:left w:w="54" w:type="dxa"/>
            </w:tcMar>
          </w:tcPr>
          <w:p w14:paraId="4503ABDC"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Aquí se incluye el estado de ejecución con los siguientes códigos:</w:t>
            </w:r>
          </w:p>
          <w:p w14:paraId="38E4E419"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S (Sí): ejecución completa de las recomendaciones.</w:t>
            </w:r>
          </w:p>
          <w:p w14:paraId="400F705E"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N (No): las recomendaciones todavía no se han ejecutado ni se han tomado medidas para comenzar a hacerlo.</w:t>
            </w:r>
          </w:p>
          <w:p w14:paraId="2B56A575" w14:textId="77777777" w:rsidR="00AB1293" w:rsidRPr="00077A67" w:rsidRDefault="00511DD4">
            <w:pPr>
              <w:rPr>
                <w:rFonts w:ascii="Times New Roman" w:hAnsi="Times New Roman" w:cs="Times New Roman"/>
                <w:sz w:val="22"/>
                <w:szCs w:val="22"/>
              </w:rPr>
            </w:pPr>
            <w:r w:rsidRPr="00077A67">
              <w:rPr>
                <w:rFonts w:ascii="Times New Roman" w:hAnsi="Times New Roman" w:cs="Times New Roman"/>
                <w:sz w:val="22"/>
                <w:szCs w:val="22"/>
              </w:rPr>
              <w:t>P (Parcial): la ejecución ha comenzado pero no se ha completado.</w:t>
            </w:r>
          </w:p>
        </w:tc>
        <w:tc>
          <w:tcPr>
            <w:tcW w:w="3118" w:type="dxa"/>
            <w:tcBorders>
              <w:top w:val="nil"/>
              <w:left w:val="single" w:sz="2" w:space="0" w:color="000000"/>
              <w:bottom w:val="single" w:sz="2" w:space="0" w:color="000000"/>
              <w:right w:val="single" w:sz="2" w:space="0" w:color="000000"/>
            </w:tcBorders>
            <w:shd w:val="clear" w:color="auto" w:fill="auto"/>
            <w:tcMar>
              <w:left w:w="54" w:type="dxa"/>
            </w:tcMar>
          </w:tcPr>
          <w:p w14:paraId="5C69784F" w14:textId="77777777" w:rsidR="00AB1293" w:rsidRDefault="00511DD4">
            <w:pPr>
              <w:rPr>
                <w:rFonts w:ascii="Times New Roman" w:hAnsi="Times New Roman" w:cs="Times New Roman"/>
                <w:sz w:val="22"/>
                <w:szCs w:val="22"/>
              </w:rPr>
            </w:pPr>
            <w:r w:rsidRPr="00077A67">
              <w:rPr>
                <w:rFonts w:ascii="Times New Roman" w:hAnsi="Times New Roman" w:cs="Times New Roman"/>
                <w:sz w:val="22"/>
                <w:szCs w:val="22"/>
              </w:rPr>
              <w:t>Para las categorías N y P, se debe indicar el período de auditoría en el que se identificó por primera vez la conclusión y la recomendación, entre otros.</w:t>
            </w:r>
          </w:p>
          <w:p w14:paraId="6C5F6644" w14:textId="77777777" w:rsidR="00AD0B06" w:rsidRDefault="00AD0B06">
            <w:pPr>
              <w:rPr>
                <w:rFonts w:ascii="Times New Roman" w:hAnsi="Times New Roman" w:cs="Times New Roman"/>
                <w:sz w:val="22"/>
                <w:szCs w:val="22"/>
              </w:rPr>
            </w:pPr>
          </w:p>
          <w:p w14:paraId="7AE7EEE8" w14:textId="77777777" w:rsidR="00AD0B06" w:rsidRDefault="00AD0B06">
            <w:pPr>
              <w:rPr>
                <w:rFonts w:ascii="Times New Roman" w:hAnsi="Times New Roman" w:cs="Times New Roman"/>
                <w:sz w:val="22"/>
                <w:szCs w:val="22"/>
              </w:rPr>
            </w:pPr>
          </w:p>
          <w:p w14:paraId="71470ED5" w14:textId="77777777" w:rsidR="00AD0B06" w:rsidRDefault="00AD0B06">
            <w:pPr>
              <w:rPr>
                <w:rFonts w:ascii="Times New Roman" w:hAnsi="Times New Roman" w:cs="Times New Roman"/>
                <w:sz w:val="22"/>
                <w:szCs w:val="22"/>
              </w:rPr>
            </w:pPr>
          </w:p>
          <w:p w14:paraId="7F3C839E" w14:textId="77777777" w:rsidR="00AD0B06" w:rsidRDefault="00AD0B06">
            <w:pPr>
              <w:rPr>
                <w:rFonts w:ascii="Times New Roman" w:hAnsi="Times New Roman" w:cs="Times New Roman"/>
                <w:sz w:val="22"/>
                <w:szCs w:val="22"/>
              </w:rPr>
            </w:pPr>
          </w:p>
          <w:p w14:paraId="55BA3AFB" w14:textId="77777777" w:rsidR="00AD0B06" w:rsidRDefault="00AD0B06">
            <w:pPr>
              <w:rPr>
                <w:rFonts w:ascii="Times New Roman" w:hAnsi="Times New Roman" w:cs="Times New Roman"/>
                <w:sz w:val="22"/>
                <w:szCs w:val="22"/>
              </w:rPr>
            </w:pPr>
          </w:p>
          <w:p w14:paraId="2AC3B4D2" w14:textId="77777777" w:rsidR="00AD0B06" w:rsidRDefault="00AD0B06">
            <w:pPr>
              <w:rPr>
                <w:rFonts w:ascii="Times New Roman" w:hAnsi="Times New Roman" w:cs="Times New Roman"/>
                <w:sz w:val="22"/>
                <w:szCs w:val="22"/>
              </w:rPr>
            </w:pPr>
          </w:p>
          <w:p w14:paraId="1B0EA9F3" w14:textId="77777777" w:rsidR="00AD0B06" w:rsidRDefault="00AD0B06">
            <w:pPr>
              <w:rPr>
                <w:rFonts w:ascii="Times New Roman" w:hAnsi="Times New Roman" w:cs="Times New Roman"/>
                <w:sz w:val="22"/>
                <w:szCs w:val="22"/>
              </w:rPr>
            </w:pPr>
          </w:p>
          <w:p w14:paraId="5EC1A25C" w14:textId="77777777" w:rsidR="00AD0B06" w:rsidRDefault="00AD0B06">
            <w:pPr>
              <w:rPr>
                <w:rFonts w:ascii="Times New Roman" w:hAnsi="Times New Roman" w:cs="Times New Roman"/>
                <w:sz w:val="22"/>
                <w:szCs w:val="22"/>
              </w:rPr>
            </w:pPr>
          </w:p>
          <w:p w14:paraId="36165524" w14:textId="0E86A702" w:rsidR="00AD0B06" w:rsidRPr="00077A67" w:rsidRDefault="00AD0B06">
            <w:pPr>
              <w:rPr>
                <w:rFonts w:ascii="Times New Roman" w:hAnsi="Times New Roman" w:cs="Times New Roman"/>
                <w:sz w:val="22"/>
                <w:szCs w:val="22"/>
              </w:rPr>
            </w:pPr>
          </w:p>
        </w:tc>
      </w:tr>
    </w:tbl>
    <w:p w14:paraId="2D9CE2B0" w14:textId="6F1C689D" w:rsidR="007F38CE" w:rsidRPr="00077A67" w:rsidRDefault="007F38CE" w:rsidP="007F38CE">
      <w:pPr>
        <w:rPr>
          <w:rFonts w:ascii="Times New Roman" w:hAnsi="Times New Roman" w:cs="Times New Roman"/>
          <w:sz w:val="22"/>
          <w:szCs w:val="22"/>
        </w:rPr>
      </w:pPr>
      <w:r>
        <w:rPr>
          <w:rFonts w:ascii="Times New Roman" w:hAnsi="Times New Roman" w:cs="Times New Roman"/>
          <w:sz w:val="22"/>
          <w:szCs w:val="22"/>
        </w:rPr>
        <w:t>LISTADO DE GASTOS NO ELEGIBLES</w:t>
      </w:r>
    </w:p>
    <w:p w14:paraId="76B155B9" w14:textId="77777777" w:rsidR="007F38CE" w:rsidRPr="00077A67" w:rsidRDefault="007F38CE" w:rsidP="007F38CE">
      <w:pPr>
        <w:rPr>
          <w:rFonts w:ascii="Times New Roman" w:hAnsi="Times New Roman" w:cs="Times New Roman"/>
          <w:sz w:val="22"/>
          <w:szCs w:val="22"/>
        </w:rPr>
      </w:pPr>
    </w:p>
    <w:tbl>
      <w:tblPr>
        <w:tblStyle w:val="Tablaconcuadrcula"/>
        <w:tblW w:w="14874" w:type="dxa"/>
        <w:tblInd w:w="-807" w:type="dxa"/>
        <w:tblLook w:val="04A0" w:firstRow="1" w:lastRow="0" w:firstColumn="1" w:lastColumn="0" w:noHBand="0" w:noVBand="1"/>
      </w:tblPr>
      <w:tblGrid>
        <w:gridCol w:w="3070"/>
        <w:gridCol w:w="1418"/>
        <w:gridCol w:w="2693"/>
        <w:gridCol w:w="2835"/>
        <w:gridCol w:w="4858"/>
      </w:tblGrid>
      <w:tr w:rsidR="007F38CE" w:rsidRPr="00077A67" w14:paraId="316E05BB" w14:textId="77777777" w:rsidTr="007F38CE">
        <w:tc>
          <w:tcPr>
            <w:tcW w:w="3070" w:type="dxa"/>
          </w:tcPr>
          <w:p w14:paraId="0C32879B" w14:textId="4F637134" w:rsidR="007F38CE" w:rsidRPr="00077A67" w:rsidRDefault="007F38CE" w:rsidP="007F38CE">
            <w:pPr>
              <w:jc w:val="center"/>
              <w:rPr>
                <w:rFonts w:ascii="Times New Roman" w:hAnsi="Times New Roman" w:cs="Times New Roman"/>
                <w:sz w:val="22"/>
                <w:szCs w:val="22"/>
              </w:rPr>
            </w:pPr>
            <w:r>
              <w:rPr>
                <w:rFonts w:ascii="Times New Roman" w:hAnsi="Times New Roman" w:cs="Times New Roman"/>
                <w:sz w:val="22"/>
                <w:szCs w:val="22"/>
              </w:rPr>
              <w:t>Descripción</w:t>
            </w:r>
          </w:p>
        </w:tc>
        <w:tc>
          <w:tcPr>
            <w:tcW w:w="1418" w:type="dxa"/>
          </w:tcPr>
          <w:p w14:paraId="67DC7BC2" w14:textId="01438CC3" w:rsidR="007F38CE" w:rsidRPr="00077A67" w:rsidRDefault="007F38CE" w:rsidP="007F38CE">
            <w:pPr>
              <w:jc w:val="center"/>
              <w:rPr>
                <w:rFonts w:ascii="Times New Roman" w:hAnsi="Times New Roman" w:cs="Times New Roman"/>
                <w:sz w:val="22"/>
                <w:szCs w:val="22"/>
              </w:rPr>
            </w:pPr>
            <w:r>
              <w:rPr>
                <w:rFonts w:ascii="Times New Roman" w:hAnsi="Times New Roman" w:cs="Times New Roman"/>
                <w:sz w:val="22"/>
                <w:szCs w:val="22"/>
              </w:rPr>
              <w:t>Gastos sin soportes</w:t>
            </w:r>
          </w:p>
        </w:tc>
        <w:tc>
          <w:tcPr>
            <w:tcW w:w="2693" w:type="dxa"/>
          </w:tcPr>
          <w:p w14:paraId="1084A4C3" w14:textId="7960EE57" w:rsidR="007F38CE" w:rsidRPr="00077A67" w:rsidRDefault="007F38CE" w:rsidP="007F38CE">
            <w:pPr>
              <w:jc w:val="center"/>
              <w:rPr>
                <w:rFonts w:ascii="Times New Roman" w:hAnsi="Times New Roman" w:cs="Times New Roman"/>
                <w:sz w:val="22"/>
                <w:szCs w:val="22"/>
              </w:rPr>
            </w:pPr>
            <w:r>
              <w:rPr>
                <w:rFonts w:ascii="Times New Roman" w:hAnsi="Times New Roman" w:cs="Times New Roman"/>
                <w:sz w:val="22"/>
                <w:szCs w:val="22"/>
              </w:rPr>
              <w:t>Gastos incurridos fuera del período de subvención</w:t>
            </w:r>
          </w:p>
        </w:tc>
        <w:tc>
          <w:tcPr>
            <w:tcW w:w="2835" w:type="dxa"/>
          </w:tcPr>
          <w:p w14:paraId="4BB173CD" w14:textId="44115DDB" w:rsidR="007F38CE" w:rsidRPr="00077A67" w:rsidRDefault="007F38CE" w:rsidP="007F38CE">
            <w:pPr>
              <w:jc w:val="center"/>
              <w:rPr>
                <w:rFonts w:ascii="Times New Roman" w:hAnsi="Times New Roman" w:cs="Times New Roman"/>
                <w:sz w:val="22"/>
                <w:szCs w:val="22"/>
              </w:rPr>
            </w:pPr>
            <w:r>
              <w:rPr>
                <w:rFonts w:ascii="Times New Roman" w:hAnsi="Times New Roman" w:cs="Times New Roman"/>
                <w:sz w:val="22"/>
                <w:szCs w:val="22"/>
              </w:rPr>
              <w:t>Gastos comprometidos por prácticas indebidas</w:t>
            </w:r>
          </w:p>
        </w:tc>
        <w:tc>
          <w:tcPr>
            <w:tcW w:w="4858" w:type="dxa"/>
          </w:tcPr>
          <w:p w14:paraId="71B46AB1" w14:textId="21EFF7C7" w:rsidR="007F38CE" w:rsidRPr="00077A67" w:rsidRDefault="007F38CE" w:rsidP="007F38CE">
            <w:pPr>
              <w:jc w:val="center"/>
              <w:rPr>
                <w:rFonts w:ascii="Times New Roman" w:hAnsi="Times New Roman" w:cs="Times New Roman"/>
                <w:sz w:val="22"/>
                <w:szCs w:val="22"/>
              </w:rPr>
            </w:pPr>
            <w:r w:rsidRPr="007F38CE">
              <w:rPr>
                <w:rFonts w:ascii="Times New Roman" w:hAnsi="Times New Roman" w:cs="Times New Roman"/>
                <w:sz w:val="22"/>
                <w:szCs w:val="22"/>
              </w:rPr>
              <w:t>Gastos relacionados con otros tipos de incumplimiento o mala gestión de los fondos de subvención (o bienes o servicios adquiridos con fondos de subvención)</w:t>
            </w:r>
          </w:p>
        </w:tc>
      </w:tr>
      <w:tr w:rsidR="007F38CE" w14:paraId="379731CA" w14:textId="77777777" w:rsidTr="007F38CE">
        <w:tc>
          <w:tcPr>
            <w:tcW w:w="14874" w:type="dxa"/>
            <w:gridSpan w:val="5"/>
          </w:tcPr>
          <w:p w14:paraId="025CA79F" w14:textId="3241B3C8" w:rsidR="007F38CE" w:rsidRDefault="007F38CE" w:rsidP="007F38CE">
            <w:pPr>
              <w:rPr>
                <w:rFonts w:ascii="Times New Roman" w:hAnsi="Times New Roman" w:cs="Times New Roman"/>
                <w:sz w:val="22"/>
                <w:szCs w:val="22"/>
              </w:rPr>
            </w:pPr>
            <w:r>
              <w:rPr>
                <w:rFonts w:ascii="Times New Roman" w:hAnsi="Times New Roman" w:cs="Times New Roman"/>
                <w:sz w:val="22"/>
                <w:szCs w:val="22"/>
              </w:rPr>
              <w:t>Recursos Humanos</w:t>
            </w:r>
          </w:p>
        </w:tc>
      </w:tr>
      <w:tr w:rsidR="007F38CE" w14:paraId="327EA36E" w14:textId="77777777" w:rsidTr="007F38CE">
        <w:tc>
          <w:tcPr>
            <w:tcW w:w="14874" w:type="dxa"/>
            <w:gridSpan w:val="5"/>
          </w:tcPr>
          <w:p w14:paraId="3E5DE09C" w14:textId="51EB15D1" w:rsidR="007F38CE" w:rsidRDefault="007F38CE" w:rsidP="007F38CE">
            <w:pPr>
              <w:rPr>
                <w:rFonts w:ascii="Times New Roman" w:hAnsi="Times New Roman" w:cs="Times New Roman"/>
                <w:sz w:val="22"/>
                <w:szCs w:val="22"/>
              </w:rPr>
            </w:pPr>
            <w:r>
              <w:rPr>
                <w:rFonts w:ascii="Times New Roman" w:hAnsi="Times New Roman" w:cs="Times New Roman"/>
                <w:sz w:val="22"/>
                <w:szCs w:val="22"/>
              </w:rPr>
              <w:t>Costos relacionados con viajes</w:t>
            </w:r>
          </w:p>
        </w:tc>
      </w:tr>
      <w:tr w:rsidR="007F38CE" w14:paraId="0CC6CDB9" w14:textId="77777777" w:rsidTr="007F38CE">
        <w:tc>
          <w:tcPr>
            <w:tcW w:w="14874" w:type="dxa"/>
            <w:gridSpan w:val="5"/>
          </w:tcPr>
          <w:p w14:paraId="3F5075DF" w14:textId="48B5682A" w:rsidR="007F38CE" w:rsidRDefault="007F38CE" w:rsidP="007F38CE">
            <w:pPr>
              <w:rPr>
                <w:rFonts w:ascii="Times New Roman" w:hAnsi="Times New Roman" w:cs="Times New Roman"/>
                <w:sz w:val="22"/>
                <w:szCs w:val="22"/>
              </w:rPr>
            </w:pPr>
            <w:r>
              <w:rPr>
                <w:rFonts w:ascii="Times New Roman" w:hAnsi="Times New Roman" w:cs="Times New Roman"/>
                <w:sz w:val="22"/>
                <w:szCs w:val="22"/>
              </w:rPr>
              <w:t>Costos de compras</w:t>
            </w:r>
          </w:p>
        </w:tc>
      </w:tr>
      <w:tr w:rsidR="007F38CE" w14:paraId="387F458F" w14:textId="77777777" w:rsidTr="007F38CE">
        <w:tc>
          <w:tcPr>
            <w:tcW w:w="14874" w:type="dxa"/>
            <w:gridSpan w:val="5"/>
          </w:tcPr>
          <w:p w14:paraId="41CEE04A" w14:textId="1468EAC8" w:rsidR="007F38CE" w:rsidRDefault="007F38CE" w:rsidP="007F38CE">
            <w:pPr>
              <w:rPr>
                <w:rFonts w:ascii="Times New Roman" w:hAnsi="Times New Roman" w:cs="Times New Roman"/>
                <w:sz w:val="22"/>
                <w:szCs w:val="22"/>
              </w:rPr>
            </w:pPr>
            <w:r>
              <w:rPr>
                <w:rFonts w:ascii="Times New Roman" w:hAnsi="Times New Roman" w:cs="Times New Roman"/>
                <w:sz w:val="22"/>
                <w:szCs w:val="22"/>
              </w:rPr>
              <w:t xml:space="preserve">Otros </w:t>
            </w:r>
          </w:p>
        </w:tc>
      </w:tr>
    </w:tbl>
    <w:p w14:paraId="20112740" w14:textId="77777777" w:rsidR="0038698C" w:rsidRDefault="0038698C">
      <w:pPr>
        <w:rPr>
          <w:rFonts w:ascii="Times New Roman" w:hAnsi="Times New Roman" w:cs="Times New Roman"/>
          <w:sz w:val="22"/>
          <w:szCs w:val="22"/>
        </w:rPr>
        <w:sectPr w:rsidR="0038698C" w:rsidSect="0038698C">
          <w:pgSz w:w="15840" w:h="12240" w:orient="landscape"/>
          <w:pgMar w:top="1134" w:right="1134" w:bottom="1134" w:left="1134" w:header="0" w:footer="0" w:gutter="0"/>
          <w:cols w:space="720"/>
          <w:formProt w:val="0"/>
          <w:docGrid w:linePitch="326"/>
        </w:sectPr>
      </w:pPr>
    </w:p>
    <w:tbl>
      <w:tblPr>
        <w:tblpPr w:leftFromText="180" w:rightFromText="180" w:horzAnchor="margin" w:tblpY="1027"/>
        <w:tblW w:w="5000" w:type="pct"/>
        <w:tblLayout w:type="fixed"/>
        <w:tblLook w:val="04A0" w:firstRow="1" w:lastRow="0" w:firstColumn="1" w:lastColumn="0" w:noHBand="0" w:noVBand="1"/>
      </w:tblPr>
      <w:tblGrid>
        <w:gridCol w:w="280"/>
        <w:gridCol w:w="3108"/>
        <w:gridCol w:w="440"/>
        <w:gridCol w:w="564"/>
        <w:gridCol w:w="567"/>
        <w:gridCol w:w="949"/>
        <w:gridCol w:w="542"/>
        <w:gridCol w:w="426"/>
        <w:gridCol w:w="678"/>
        <w:gridCol w:w="542"/>
        <w:gridCol w:w="407"/>
        <w:gridCol w:w="564"/>
        <w:gridCol w:w="710"/>
        <w:gridCol w:w="710"/>
        <w:gridCol w:w="567"/>
        <w:gridCol w:w="426"/>
        <w:gridCol w:w="599"/>
        <w:gridCol w:w="534"/>
        <w:gridCol w:w="426"/>
        <w:gridCol w:w="518"/>
      </w:tblGrid>
      <w:tr w:rsidR="004268EB" w:rsidRPr="00932660" w14:paraId="756E77B5" w14:textId="77777777" w:rsidTr="004268EB">
        <w:trPr>
          <w:trHeight w:val="1200"/>
        </w:trPr>
        <w:tc>
          <w:tcPr>
            <w:tcW w:w="1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C9618"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lastRenderedPageBreak/>
              <w:t>#</w:t>
            </w:r>
          </w:p>
        </w:tc>
        <w:tc>
          <w:tcPr>
            <w:tcW w:w="1146" w:type="pct"/>
            <w:tcBorders>
              <w:top w:val="single" w:sz="4" w:space="0" w:color="auto"/>
              <w:left w:val="nil"/>
              <w:bottom w:val="single" w:sz="4" w:space="0" w:color="auto"/>
              <w:right w:val="nil"/>
            </w:tcBorders>
            <w:shd w:val="clear" w:color="000000" w:fill="FFFFFF"/>
            <w:hideMark/>
          </w:tcPr>
          <w:p w14:paraId="39270863" w14:textId="77B6ECD9" w:rsidR="00AD0B06" w:rsidRPr="00932660" w:rsidRDefault="00196162" w:rsidP="00196162">
            <w:pPr>
              <w:jc w:val="center"/>
              <w:rPr>
                <w:rFonts w:ascii="Calibri" w:eastAsia="Times New Roman" w:hAnsi="Calibri" w:cs="Calibri"/>
                <w:b/>
                <w:bCs/>
                <w:color w:val="000000"/>
              </w:rPr>
            </w:pPr>
            <w:r>
              <w:rPr>
                <w:rFonts w:ascii="Calibri" w:eastAsia="Times New Roman" w:hAnsi="Calibri" w:cs="Calibri"/>
                <w:b/>
                <w:bCs/>
                <w:color w:val="000000"/>
              </w:rPr>
              <w:t>Areá</w:t>
            </w:r>
          </w:p>
        </w:tc>
        <w:tc>
          <w:tcPr>
            <w:tcW w:w="579" w:type="pct"/>
            <w:gridSpan w:val="3"/>
            <w:tcBorders>
              <w:top w:val="single" w:sz="8" w:space="0" w:color="auto"/>
              <w:left w:val="single" w:sz="8" w:space="0" w:color="auto"/>
              <w:bottom w:val="single" w:sz="4" w:space="0" w:color="auto"/>
              <w:right w:val="nil"/>
            </w:tcBorders>
            <w:shd w:val="clear" w:color="000000" w:fill="FFFFFF"/>
            <w:hideMark/>
          </w:tcPr>
          <w:p w14:paraId="29798692" w14:textId="41D7A0C4" w:rsidR="00AD0B06" w:rsidRPr="004268EB" w:rsidRDefault="004268EB" w:rsidP="00196162">
            <w:pPr>
              <w:jc w:val="center"/>
              <w:rPr>
                <w:rFonts w:ascii="Calibri" w:eastAsia="Times New Roman" w:hAnsi="Calibri" w:cs="Calibri"/>
                <w:b/>
                <w:bCs/>
                <w:color w:val="000000"/>
              </w:rPr>
            </w:pPr>
            <w:r w:rsidRPr="004268EB">
              <w:rPr>
                <w:rFonts w:ascii="Calibri" w:eastAsia="Times New Roman" w:hAnsi="Calibri" w:cs="Calibri"/>
                <w:b/>
                <w:bCs/>
                <w:color w:val="000000"/>
              </w:rPr>
              <w:t>Flujo inadecuado de acuerdos de fondos</w:t>
            </w:r>
          </w:p>
        </w:tc>
        <w:tc>
          <w:tcPr>
            <w:tcW w:w="707" w:type="pct"/>
            <w:gridSpan w:val="3"/>
            <w:tcBorders>
              <w:top w:val="single" w:sz="8" w:space="0" w:color="auto"/>
              <w:left w:val="single" w:sz="8" w:space="0" w:color="auto"/>
              <w:bottom w:val="single" w:sz="4" w:space="0" w:color="auto"/>
              <w:right w:val="single" w:sz="8" w:space="0" w:color="000000"/>
            </w:tcBorders>
            <w:shd w:val="clear" w:color="000000" w:fill="FFFFFF"/>
            <w:hideMark/>
          </w:tcPr>
          <w:p w14:paraId="362C6941" w14:textId="4E6A9ABE" w:rsidR="00AD0B06" w:rsidRPr="00932660" w:rsidRDefault="004268EB" w:rsidP="00196162">
            <w:pPr>
              <w:jc w:val="center"/>
              <w:rPr>
                <w:rFonts w:ascii="Calibri" w:eastAsia="Times New Roman" w:hAnsi="Calibri" w:cs="Calibri"/>
                <w:b/>
                <w:bCs/>
                <w:color w:val="000000"/>
              </w:rPr>
            </w:pPr>
            <w:r>
              <w:rPr>
                <w:rFonts w:ascii="Calibri" w:eastAsia="Times New Roman" w:hAnsi="Calibri" w:cs="Calibri"/>
                <w:b/>
                <w:bCs/>
                <w:color w:val="000000"/>
              </w:rPr>
              <w:t>Inadecuado control interno</w:t>
            </w:r>
          </w:p>
        </w:tc>
        <w:tc>
          <w:tcPr>
            <w:tcW w:w="600" w:type="pct"/>
            <w:gridSpan w:val="3"/>
            <w:tcBorders>
              <w:top w:val="single" w:sz="8" w:space="0" w:color="auto"/>
              <w:left w:val="nil"/>
              <w:bottom w:val="single" w:sz="4" w:space="0" w:color="auto"/>
              <w:right w:val="single" w:sz="8" w:space="0" w:color="000000"/>
            </w:tcBorders>
            <w:shd w:val="clear" w:color="000000" w:fill="FFFFFF"/>
            <w:hideMark/>
          </w:tcPr>
          <w:p w14:paraId="60CEB0C3" w14:textId="4582CD6C" w:rsidR="00AD0B06" w:rsidRPr="004268EB" w:rsidRDefault="004268EB" w:rsidP="00196162">
            <w:pPr>
              <w:jc w:val="center"/>
              <w:rPr>
                <w:rFonts w:ascii="Calibri" w:eastAsia="Times New Roman" w:hAnsi="Calibri" w:cs="Calibri"/>
                <w:b/>
                <w:bCs/>
                <w:color w:val="000000"/>
              </w:rPr>
            </w:pPr>
            <w:r w:rsidRPr="004268EB">
              <w:rPr>
                <w:rFonts w:ascii="Calibri" w:eastAsia="Times New Roman" w:hAnsi="Calibri" w:cs="Calibri"/>
                <w:b/>
                <w:bCs/>
                <w:color w:val="000000"/>
              </w:rPr>
              <w:t>Fraude financier</w:t>
            </w:r>
            <w:r>
              <w:rPr>
                <w:rFonts w:ascii="Calibri" w:eastAsia="Times New Roman" w:hAnsi="Calibri" w:cs="Calibri"/>
                <w:b/>
                <w:bCs/>
                <w:color w:val="000000"/>
              </w:rPr>
              <w:t>o</w:t>
            </w:r>
            <w:r w:rsidRPr="004268EB">
              <w:rPr>
                <w:rFonts w:ascii="Calibri" w:eastAsia="Times New Roman" w:hAnsi="Calibri" w:cs="Calibri"/>
                <w:b/>
                <w:bCs/>
                <w:color w:val="000000"/>
              </w:rPr>
              <w:t>, C</w:t>
            </w:r>
            <w:r>
              <w:rPr>
                <w:rFonts w:ascii="Calibri" w:eastAsia="Times New Roman" w:hAnsi="Calibri" w:cs="Calibri"/>
                <w:b/>
                <w:bCs/>
                <w:color w:val="000000"/>
              </w:rPr>
              <w:t>orrupció</w:t>
            </w:r>
            <w:r w:rsidRPr="004268EB">
              <w:rPr>
                <w:rFonts w:ascii="Calibri" w:eastAsia="Times New Roman" w:hAnsi="Calibri" w:cs="Calibri"/>
                <w:b/>
                <w:bCs/>
                <w:color w:val="000000"/>
              </w:rPr>
              <w:t>n y R</w:t>
            </w:r>
            <w:r>
              <w:rPr>
                <w:rFonts w:ascii="Calibri" w:eastAsia="Times New Roman" w:hAnsi="Calibri" w:cs="Calibri"/>
                <w:b/>
                <w:bCs/>
                <w:color w:val="000000"/>
              </w:rPr>
              <w:t>obo</w:t>
            </w:r>
          </w:p>
        </w:tc>
        <w:tc>
          <w:tcPr>
            <w:tcW w:w="732" w:type="pct"/>
            <w:gridSpan w:val="3"/>
            <w:tcBorders>
              <w:top w:val="single" w:sz="8" w:space="0" w:color="auto"/>
              <w:left w:val="nil"/>
              <w:bottom w:val="single" w:sz="4" w:space="0" w:color="auto"/>
              <w:right w:val="single" w:sz="8" w:space="0" w:color="000000"/>
            </w:tcBorders>
            <w:shd w:val="clear" w:color="000000" w:fill="FFFFFF"/>
            <w:hideMark/>
          </w:tcPr>
          <w:p w14:paraId="746013FC" w14:textId="31500CE3" w:rsidR="00AD0B06" w:rsidRPr="004268EB" w:rsidRDefault="004268EB" w:rsidP="00196162">
            <w:pPr>
              <w:jc w:val="center"/>
              <w:rPr>
                <w:rFonts w:ascii="Calibri" w:eastAsia="Times New Roman" w:hAnsi="Calibri" w:cs="Calibri"/>
                <w:b/>
                <w:bCs/>
                <w:color w:val="000000"/>
              </w:rPr>
            </w:pPr>
            <w:r w:rsidRPr="004268EB">
              <w:rPr>
                <w:rFonts w:ascii="Calibri" w:eastAsia="Times New Roman" w:hAnsi="Calibri" w:cs="Calibri"/>
                <w:b/>
                <w:bCs/>
                <w:color w:val="000000"/>
              </w:rPr>
              <w:t>Contabilidade informes financieros inadecuados</w:t>
            </w:r>
          </w:p>
        </w:tc>
        <w:tc>
          <w:tcPr>
            <w:tcW w:w="587" w:type="pct"/>
            <w:gridSpan w:val="3"/>
            <w:tcBorders>
              <w:top w:val="single" w:sz="8" w:space="0" w:color="auto"/>
              <w:left w:val="nil"/>
              <w:bottom w:val="single" w:sz="4" w:space="0" w:color="auto"/>
              <w:right w:val="single" w:sz="8" w:space="0" w:color="000000"/>
            </w:tcBorders>
            <w:shd w:val="clear" w:color="000000" w:fill="FFFFFF"/>
            <w:hideMark/>
          </w:tcPr>
          <w:p w14:paraId="24EBA103" w14:textId="33A899EF" w:rsidR="00AD0B06" w:rsidRPr="00932660" w:rsidRDefault="004268EB" w:rsidP="00196162">
            <w:pPr>
              <w:jc w:val="center"/>
              <w:rPr>
                <w:rFonts w:ascii="Calibri" w:eastAsia="Times New Roman" w:hAnsi="Calibri" w:cs="Calibri"/>
                <w:b/>
                <w:bCs/>
                <w:color w:val="000000"/>
              </w:rPr>
            </w:pPr>
            <w:r>
              <w:rPr>
                <w:rFonts w:ascii="Calibri" w:eastAsia="Times New Roman" w:hAnsi="Calibri" w:cs="Calibri"/>
                <w:b/>
                <w:bCs/>
                <w:color w:val="000000"/>
              </w:rPr>
              <w:t>Valor Limitado por dinero</w:t>
            </w:r>
          </w:p>
        </w:tc>
        <w:tc>
          <w:tcPr>
            <w:tcW w:w="545" w:type="pct"/>
            <w:gridSpan w:val="3"/>
            <w:tcBorders>
              <w:top w:val="single" w:sz="8" w:space="0" w:color="auto"/>
              <w:left w:val="nil"/>
              <w:bottom w:val="single" w:sz="4" w:space="0" w:color="auto"/>
              <w:right w:val="single" w:sz="8" w:space="0" w:color="000000"/>
            </w:tcBorders>
            <w:shd w:val="clear" w:color="000000" w:fill="FFFFFF"/>
            <w:hideMark/>
          </w:tcPr>
          <w:p w14:paraId="7E8CAA4E" w14:textId="7998905E" w:rsidR="00AD0B06" w:rsidRPr="00932660" w:rsidRDefault="004268EB" w:rsidP="00196162">
            <w:pPr>
              <w:jc w:val="center"/>
              <w:rPr>
                <w:rFonts w:ascii="Calibri" w:eastAsia="Times New Roman" w:hAnsi="Calibri" w:cs="Calibri"/>
                <w:b/>
                <w:bCs/>
                <w:color w:val="000000"/>
              </w:rPr>
            </w:pPr>
            <w:r>
              <w:rPr>
                <w:rFonts w:ascii="Calibri" w:eastAsia="Times New Roman" w:hAnsi="Calibri" w:cs="Calibri"/>
                <w:b/>
                <w:bCs/>
                <w:color w:val="000000"/>
              </w:rPr>
              <w:t>Disposiciones de auditoría inadecuadas</w:t>
            </w:r>
          </w:p>
        </w:tc>
      </w:tr>
      <w:tr w:rsidR="004268EB" w:rsidRPr="00932660" w14:paraId="0BA300A5" w14:textId="77777777" w:rsidTr="004268EB">
        <w:trPr>
          <w:trHeight w:val="315"/>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29F340E2"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w:t>
            </w:r>
          </w:p>
        </w:tc>
        <w:tc>
          <w:tcPr>
            <w:tcW w:w="1146" w:type="pct"/>
            <w:tcBorders>
              <w:top w:val="nil"/>
              <w:left w:val="nil"/>
              <w:bottom w:val="single" w:sz="4" w:space="0" w:color="auto"/>
              <w:right w:val="nil"/>
            </w:tcBorders>
            <w:shd w:val="clear" w:color="000000" w:fill="FFFFFF"/>
            <w:hideMark/>
          </w:tcPr>
          <w:p w14:paraId="740CE7C1" w14:textId="3F045ACA" w:rsidR="00AD0B06" w:rsidRPr="00932660" w:rsidRDefault="00196162" w:rsidP="00196162">
            <w:pPr>
              <w:jc w:val="center"/>
              <w:rPr>
                <w:rFonts w:ascii="Calibri" w:eastAsia="Times New Roman" w:hAnsi="Calibri" w:cs="Calibri"/>
                <w:b/>
                <w:bCs/>
                <w:color w:val="000000"/>
              </w:rPr>
            </w:pPr>
            <w:r>
              <w:rPr>
                <w:rFonts w:ascii="Calibri" w:eastAsia="Times New Roman" w:hAnsi="Calibri" w:cs="Calibri"/>
                <w:b/>
                <w:bCs/>
                <w:color w:val="000000"/>
              </w:rPr>
              <w:t>Clasificación</w:t>
            </w:r>
          </w:p>
        </w:tc>
        <w:tc>
          <w:tcPr>
            <w:tcW w:w="162" w:type="pct"/>
            <w:tcBorders>
              <w:top w:val="nil"/>
              <w:left w:val="single" w:sz="8" w:space="0" w:color="auto"/>
              <w:bottom w:val="single" w:sz="8" w:space="0" w:color="auto"/>
              <w:right w:val="single" w:sz="4" w:space="0" w:color="auto"/>
            </w:tcBorders>
            <w:shd w:val="clear" w:color="000000" w:fill="FFFFFF"/>
            <w:hideMark/>
          </w:tcPr>
          <w:p w14:paraId="2E23C629"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w:t>
            </w:r>
          </w:p>
        </w:tc>
        <w:tc>
          <w:tcPr>
            <w:tcW w:w="208" w:type="pct"/>
            <w:tcBorders>
              <w:top w:val="nil"/>
              <w:left w:val="nil"/>
              <w:bottom w:val="single" w:sz="8" w:space="0" w:color="auto"/>
              <w:right w:val="single" w:sz="4" w:space="0" w:color="auto"/>
            </w:tcBorders>
            <w:shd w:val="clear" w:color="000000" w:fill="FFFFFF"/>
            <w:hideMark/>
          </w:tcPr>
          <w:p w14:paraId="2D75CDDD"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209" w:type="pct"/>
            <w:tcBorders>
              <w:top w:val="nil"/>
              <w:left w:val="nil"/>
              <w:bottom w:val="single" w:sz="8" w:space="0" w:color="auto"/>
              <w:right w:val="nil"/>
            </w:tcBorders>
            <w:shd w:val="clear" w:color="000000" w:fill="FFFFFF"/>
            <w:hideMark/>
          </w:tcPr>
          <w:p w14:paraId="1B676F41"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c>
          <w:tcPr>
            <w:tcW w:w="350" w:type="pct"/>
            <w:tcBorders>
              <w:top w:val="nil"/>
              <w:left w:val="single" w:sz="8" w:space="0" w:color="auto"/>
              <w:bottom w:val="single" w:sz="8" w:space="0" w:color="auto"/>
              <w:right w:val="single" w:sz="4" w:space="0" w:color="auto"/>
            </w:tcBorders>
            <w:shd w:val="clear" w:color="000000" w:fill="FFFFFF"/>
            <w:hideMark/>
          </w:tcPr>
          <w:p w14:paraId="6A23CD87"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xml:space="preserve">I </w:t>
            </w:r>
          </w:p>
        </w:tc>
        <w:tc>
          <w:tcPr>
            <w:tcW w:w="200" w:type="pct"/>
            <w:tcBorders>
              <w:top w:val="nil"/>
              <w:left w:val="nil"/>
              <w:bottom w:val="single" w:sz="8" w:space="0" w:color="auto"/>
              <w:right w:val="single" w:sz="4" w:space="0" w:color="auto"/>
            </w:tcBorders>
            <w:shd w:val="clear" w:color="000000" w:fill="FFFFFF"/>
            <w:hideMark/>
          </w:tcPr>
          <w:p w14:paraId="7A90A7BB"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157" w:type="pct"/>
            <w:tcBorders>
              <w:top w:val="nil"/>
              <w:left w:val="nil"/>
              <w:bottom w:val="single" w:sz="8" w:space="0" w:color="auto"/>
              <w:right w:val="single" w:sz="8" w:space="0" w:color="auto"/>
            </w:tcBorders>
            <w:shd w:val="clear" w:color="000000" w:fill="FFFFFF"/>
            <w:hideMark/>
          </w:tcPr>
          <w:p w14:paraId="1A7F9C29"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c>
          <w:tcPr>
            <w:tcW w:w="250" w:type="pct"/>
            <w:tcBorders>
              <w:top w:val="nil"/>
              <w:left w:val="nil"/>
              <w:bottom w:val="single" w:sz="8" w:space="0" w:color="auto"/>
              <w:right w:val="single" w:sz="4" w:space="0" w:color="auto"/>
            </w:tcBorders>
            <w:shd w:val="clear" w:color="000000" w:fill="FFFFFF"/>
            <w:hideMark/>
          </w:tcPr>
          <w:p w14:paraId="2C9681AD"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xml:space="preserve">I </w:t>
            </w:r>
          </w:p>
        </w:tc>
        <w:tc>
          <w:tcPr>
            <w:tcW w:w="200" w:type="pct"/>
            <w:tcBorders>
              <w:top w:val="nil"/>
              <w:left w:val="nil"/>
              <w:bottom w:val="single" w:sz="8" w:space="0" w:color="auto"/>
              <w:right w:val="single" w:sz="4" w:space="0" w:color="auto"/>
            </w:tcBorders>
            <w:shd w:val="clear" w:color="000000" w:fill="FFFFFF"/>
            <w:hideMark/>
          </w:tcPr>
          <w:p w14:paraId="24F986D7"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150" w:type="pct"/>
            <w:tcBorders>
              <w:top w:val="nil"/>
              <w:left w:val="nil"/>
              <w:bottom w:val="single" w:sz="8" w:space="0" w:color="auto"/>
              <w:right w:val="single" w:sz="8" w:space="0" w:color="auto"/>
            </w:tcBorders>
            <w:shd w:val="clear" w:color="000000" w:fill="FFFFFF"/>
            <w:hideMark/>
          </w:tcPr>
          <w:p w14:paraId="13B6BA67"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c>
          <w:tcPr>
            <w:tcW w:w="208" w:type="pct"/>
            <w:tcBorders>
              <w:top w:val="nil"/>
              <w:left w:val="nil"/>
              <w:bottom w:val="single" w:sz="8" w:space="0" w:color="auto"/>
              <w:right w:val="single" w:sz="4" w:space="0" w:color="auto"/>
            </w:tcBorders>
            <w:shd w:val="clear" w:color="000000" w:fill="FFFFFF"/>
            <w:hideMark/>
          </w:tcPr>
          <w:p w14:paraId="6419C227"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xml:space="preserve">I </w:t>
            </w:r>
          </w:p>
        </w:tc>
        <w:tc>
          <w:tcPr>
            <w:tcW w:w="262" w:type="pct"/>
            <w:tcBorders>
              <w:top w:val="nil"/>
              <w:left w:val="nil"/>
              <w:bottom w:val="single" w:sz="8" w:space="0" w:color="auto"/>
              <w:right w:val="single" w:sz="4" w:space="0" w:color="auto"/>
            </w:tcBorders>
            <w:shd w:val="clear" w:color="000000" w:fill="FFFFFF"/>
            <w:hideMark/>
          </w:tcPr>
          <w:p w14:paraId="4B3A4FF9"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262" w:type="pct"/>
            <w:tcBorders>
              <w:top w:val="nil"/>
              <w:left w:val="nil"/>
              <w:bottom w:val="single" w:sz="8" w:space="0" w:color="auto"/>
              <w:right w:val="single" w:sz="8" w:space="0" w:color="auto"/>
            </w:tcBorders>
            <w:shd w:val="clear" w:color="000000" w:fill="FFFFFF"/>
            <w:hideMark/>
          </w:tcPr>
          <w:p w14:paraId="171ADC53"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c>
          <w:tcPr>
            <w:tcW w:w="209" w:type="pct"/>
            <w:tcBorders>
              <w:top w:val="nil"/>
              <w:left w:val="nil"/>
              <w:bottom w:val="single" w:sz="8" w:space="0" w:color="auto"/>
              <w:right w:val="single" w:sz="4" w:space="0" w:color="auto"/>
            </w:tcBorders>
            <w:shd w:val="clear" w:color="000000" w:fill="FFFFFF"/>
            <w:hideMark/>
          </w:tcPr>
          <w:p w14:paraId="7C831FF6"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xml:space="preserve">I </w:t>
            </w:r>
          </w:p>
        </w:tc>
        <w:tc>
          <w:tcPr>
            <w:tcW w:w="157" w:type="pct"/>
            <w:tcBorders>
              <w:top w:val="nil"/>
              <w:left w:val="nil"/>
              <w:bottom w:val="single" w:sz="8" w:space="0" w:color="auto"/>
              <w:right w:val="single" w:sz="4" w:space="0" w:color="auto"/>
            </w:tcBorders>
            <w:shd w:val="clear" w:color="000000" w:fill="FFFFFF"/>
            <w:hideMark/>
          </w:tcPr>
          <w:p w14:paraId="4D6E08F7"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221" w:type="pct"/>
            <w:tcBorders>
              <w:top w:val="nil"/>
              <w:left w:val="nil"/>
              <w:bottom w:val="single" w:sz="8" w:space="0" w:color="auto"/>
              <w:right w:val="single" w:sz="8" w:space="0" w:color="auto"/>
            </w:tcBorders>
            <w:shd w:val="clear" w:color="000000" w:fill="FFFFFF"/>
            <w:hideMark/>
          </w:tcPr>
          <w:p w14:paraId="115ADB74"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c>
          <w:tcPr>
            <w:tcW w:w="197" w:type="pct"/>
            <w:tcBorders>
              <w:top w:val="nil"/>
              <w:left w:val="nil"/>
              <w:bottom w:val="single" w:sz="8" w:space="0" w:color="auto"/>
              <w:right w:val="single" w:sz="4" w:space="0" w:color="auto"/>
            </w:tcBorders>
            <w:shd w:val="clear" w:color="000000" w:fill="FFFFFF"/>
            <w:hideMark/>
          </w:tcPr>
          <w:p w14:paraId="65A19DF2"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 xml:space="preserve">I </w:t>
            </w:r>
          </w:p>
        </w:tc>
        <w:tc>
          <w:tcPr>
            <w:tcW w:w="157" w:type="pct"/>
            <w:tcBorders>
              <w:top w:val="nil"/>
              <w:left w:val="nil"/>
              <w:bottom w:val="single" w:sz="8" w:space="0" w:color="auto"/>
              <w:right w:val="single" w:sz="4" w:space="0" w:color="auto"/>
            </w:tcBorders>
            <w:shd w:val="clear" w:color="000000" w:fill="FFFFFF"/>
            <w:hideMark/>
          </w:tcPr>
          <w:p w14:paraId="04353E96"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w:t>
            </w:r>
          </w:p>
        </w:tc>
        <w:tc>
          <w:tcPr>
            <w:tcW w:w="191" w:type="pct"/>
            <w:tcBorders>
              <w:top w:val="nil"/>
              <w:left w:val="nil"/>
              <w:bottom w:val="single" w:sz="8" w:space="0" w:color="auto"/>
              <w:right w:val="single" w:sz="8" w:space="0" w:color="auto"/>
            </w:tcBorders>
            <w:shd w:val="clear" w:color="000000" w:fill="FFFFFF"/>
            <w:hideMark/>
          </w:tcPr>
          <w:p w14:paraId="09AEA2AA"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III</w:t>
            </w:r>
          </w:p>
        </w:tc>
      </w:tr>
      <w:tr w:rsidR="004268EB" w:rsidRPr="00932660" w14:paraId="3F0D68E7"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075C65DA"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1</w:t>
            </w:r>
          </w:p>
        </w:tc>
        <w:tc>
          <w:tcPr>
            <w:tcW w:w="1146" w:type="pct"/>
            <w:tcBorders>
              <w:top w:val="nil"/>
              <w:left w:val="nil"/>
              <w:bottom w:val="single" w:sz="4" w:space="0" w:color="auto"/>
              <w:right w:val="single" w:sz="4" w:space="0" w:color="auto"/>
            </w:tcBorders>
            <w:shd w:val="clear" w:color="000000" w:fill="FFFFFF"/>
            <w:noWrap/>
            <w:vAlign w:val="bottom"/>
            <w:hideMark/>
          </w:tcPr>
          <w:p w14:paraId="7EBC209A" w14:textId="75B0B20D" w:rsidR="00AD0B06" w:rsidRPr="00932660" w:rsidRDefault="00196162" w:rsidP="00196162">
            <w:pPr>
              <w:rPr>
                <w:rFonts w:ascii="Calibri" w:eastAsia="Times New Roman" w:hAnsi="Calibri" w:cs="Calibri"/>
                <w:color w:val="000000"/>
              </w:rPr>
            </w:pPr>
            <w:r>
              <w:rPr>
                <w:rFonts w:ascii="Calibri" w:eastAsia="Times New Roman" w:hAnsi="Calibri" w:cs="Calibri"/>
                <w:color w:val="000000"/>
              </w:rPr>
              <w:t>Gestión financiera</w:t>
            </w:r>
          </w:p>
        </w:tc>
        <w:tc>
          <w:tcPr>
            <w:tcW w:w="162" w:type="pct"/>
            <w:tcBorders>
              <w:top w:val="nil"/>
              <w:left w:val="nil"/>
              <w:bottom w:val="single" w:sz="4" w:space="0" w:color="auto"/>
              <w:right w:val="single" w:sz="4" w:space="0" w:color="auto"/>
            </w:tcBorders>
            <w:shd w:val="clear" w:color="000000" w:fill="FFFFFF"/>
            <w:noWrap/>
            <w:vAlign w:val="bottom"/>
            <w:hideMark/>
          </w:tcPr>
          <w:p w14:paraId="123BADE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68C523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203AB7C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07A96F84"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0A27D81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3599F2F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6E0A3322"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18589DE8"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1AAE9F2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381D6FA5"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5C50CEC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231A81B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4AEF0AE4"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F81BC9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3F2DF9E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61D8DA1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733E05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7C32AC6A"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r>
      <w:tr w:rsidR="004268EB" w:rsidRPr="00932660" w14:paraId="6CBB968F"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007E2C48"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2</w:t>
            </w:r>
          </w:p>
        </w:tc>
        <w:tc>
          <w:tcPr>
            <w:tcW w:w="1146" w:type="pct"/>
            <w:tcBorders>
              <w:top w:val="nil"/>
              <w:left w:val="nil"/>
              <w:bottom w:val="single" w:sz="4" w:space="0" w:color="auto"/>
              <w:right w:val="single" w:sz="4" w:space="0" w:color="auto"/>
            </w:tcBorders>
            <w:shd w:val="clear" w:color="000000" w:fill="FFFFFF"/>
            <w:noWrap/>
            <w:vAlign w:val="bottom"/>
            <w:hideMark/>
          </w:tcPr>
          <w:p w14:paraId="037568C7" w14:textId="66B70894" w:rsidR="00AD0B06" w:rsidRPr="00932660" w:rsidRDefault="00196162" w:rsidP="00196162">
            <w:pPr>
              <w:rPr>
                <w:rFonts w:ascii="Calibri" w:eastAsia="Times New Roman" w:hAnsi="Calibri" w:cs="Calibri"/>
                <w:color w:val="000000"/>
              </w:rPr>
            </w:pPr>
            <w:r>
              <w:rPr>
                <w:rFonts w:ascii="Calibri" w:eastAsia="Times New Roman" w:hAnsi="Calibri" w:cs="Calibri"/>
                <w:color w:val="000000"/>
              </w:rPr>
              <w:t>Gestión de Sub-receptores</w:t>
            </w:r>
          </w:p>
        </w:tc>
        <w:tc>
          <w:tcPr>
            <w:tcW w:w="162" w:type="pct"/>
            <w:tcBorders>
              <w:top w:val="nil"/>
              <w:left w:val="nil"/>
              <w:bottom w:val="single" w:sz="4" w:space="0" w:color="auto"/>
              <w:right w:val="single" w:sz="4" w:space="0" w:color="auto"/>
            </w:tcBorders>
            <w:shd w:val="clear" w:color="000000" w:fill="FFFFFF"/>
            <w:noWrap/>
            <w:vAlign w:val="bottom"/>
            <w:hideMark/>
          </w:tcPr>
          <w:p w14:paraId="4A414A9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45D8A12B"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22ABBC5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31647D7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772F0D3B"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31B950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34322768"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031E9B26"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4832B68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C913BF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4AB5C12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39BEDF6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6A8CAEFB"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3221C11B"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53F9EE3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3633AF4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77D8430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3E91717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r>
      <w:tr w:rsidR="004268EB" w:rsidRPr="00932660" w14:paraId="32CFFD36"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738BD718"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3</w:t>
            </w:r>
          </w:p>
        </w:tc>
        <w:tc>
          <w:tcPr>
            <w:tcW w:w="1146" w:type="pct"/>
            <w:tcBorders>
              <w:top w:val="nil"/>
              <w:left w:val="nil"/>
              <w:bottom w:val="single" w:sz="4" w:space="0" w:color="auto"/>
              <w:right w:val="single" w:sz="4" w:space="0" w:color="auto"/>
            </w:tcBorders>
            <w:shd w:val="clear" w:color="000000" w:fill="FFFFFF"/>
            <w:noWrap/>
            <w:vAlign w:val="bottom"/>
            <w:hideMark/>
          </w:tcPr>
          <w:p w14:paraId="56C7AA54" w14:textId="2C8023B0" w:rsidR="00AD0B06" w:rsidRPr="00932660" w:rsidRDefault="00196162" w:rsidP="00196162">
            <w:pPr>
              <w:rPr>
                <w:rFonts w:ascii="Calibri" w:eastAsia="Times New Roman" w:hAnsi="Calibri" w:cs="Calibri"/>
                <w:color w:val="000000"/>
              </w:rPr>
            </w:pPr>
            <w:r>
              <w:rPr>
                <w:rFonts w:ascii="Calibri" w:eastAsia="Times New Roman" w:hAnsi="Calibri" w:cs="Calibri"/>
                <w:color w:val="000000"/>
              </w:rPr>
              <w:t>Gestión de programas</w:t>
            </w:r>
          </w:p>
        </w:tc>
        <w:tc>
          <w:tcPr>
            <w:tcW w:w="162" w:type="pct"/>
            <w:tcBorders>
              <w:top w:val="nil"/>
              <w:left w:val="nil"/>
              <w:bottom w:val="single" w:sz="4" w:space="0" w:color="auto"/>
              <w:right w:val="single" w:sz="4" w:space="0" w:color="auto"/>
            </w:tcBorders>
            <w:shd w:val="clear" w:color="000000" w:fill="FFFFFF"/>
            <w:noWrap/>
            <w:vAlign w:val="bottom"/>
            <w:hideMark/>
          </w:tcPr>
          <w:p w14:paraId="44DE470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E57FB0A"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30466F26"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1922C758"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664639D5"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2F25896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4E160DC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3F1AD2A6"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030FF7DC"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6A4665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3BF648DC"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7255EE12"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659B13A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94F1730"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3A395485"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446C421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8313D8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641272EE"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r>
      <w:tr w:rsidR="004268EB" w:rsidRPr="00932660" w14:paraId="37BE7E75"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7031D7E8"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4</w:t>
            </w:r>
          </w:p>
        </w:tc>
        <w:tc>
          <w:tcPr>
            <w:tcW w:w="1146" w:type="pct"/>
            <w:tcBorders>
              <w:top w:val="nil"/>
              <w:left w:val="nil"/>
              <w:bottom w:val="single" w:sz="4" w:space="0" w:color="auto"/>
              <w:right w:val="single" w:sz="4" w:space="0" w:color="auto"/>
            </w:tcBorders>
            <w:shd w:val="clear" w:color="000000" w:fill="FFFFFF"/>
            <w:noWrap/>
            <w:vAlign w:val="bottom"/>
            <w:hideMark/>
          </w:tcPr>
          <w:p w14:paraId="4334D093" w14:textId="12BDBA77" w:rsidR="00AD0B06" w:rsidRPr="00932660" w:rsidRDefault="00196162" w:rsidP="00196162">
            <w:pPr>
              <w:rPr>
                <w:rFonts w:ascii="Calibri" w:eastAsia="Times New Roman" w:hAnsi="Calibri" w:cs="Calibri"/>
                <w:color w:val="000000"/>
              </w:rPr>
            </w:pPr>
            <w:r>
              <w:rPr>
                <w:rFonts w:ascii="Calibri" w:eastAsia="Times New Roman" w:hAnsi="Calibri" w:cs="Calibri"/>
                <w:color w:val="000000"/>
              </w:rPr>
              <w:t>Gestión de Inventario</w:t>
            </w:r>
          </w:p>
        </w:tc>
        <w:tc>
          <w:tcPr>
            <w:tcW w:w="162" w:type="pct"/>
            <w:tcBorders>
              <w:top w:val="nil"/>
              <w:left w:val="nil"/>
              <w:bottom w:val="single" w:sz="4" w:space="0" w:color="auto"/>
              <w:right w:val="single" w:sz="4" w:space="0" w:color="auto"/>
            </w:tcBorders>
            <w:shd w:val="clear" w:color="000000" w:fill="FFFFFF"/>
            <w:noWrap/>
            <w:vAlign w:val="bottom"/>
            <w:hideMark/>
          </w:tcPr>
          <w:p w14:paraId="5C326374"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41E40F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67B020AB"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6AE23C80"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0437E86C"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FDC3CB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6F113AC0"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0307B9A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5A6B31A2"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5D5C037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2DFF0258"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2B09B054"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2DBE4F7F"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78FC91D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0C7351E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3F1AB7C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7F084BF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7C572F4C"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r>
      <w:tr w:rsidR="004268EB" w:rsidRPr="00932660" w14:paraId="7C755DEA"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22060E1F"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5</w:t>
            </w:r>
          </w:p>
        </w:tc>
        <w:tc>
          <w:tcPr>
            <w:tcW w:w="1146" w:type="pct"/>
            <w:tcBorders>
              <w:top w:val="nil"/>
              <w:left w:val="nil"/>
              <w:bottom w:val="single" w:sz="4" w:space="0" w:color="auto"/>
              <w:right w:val="single" w:sz="4" w:space="0" w:color="auto"/>
            </w:tcBorders>
            <w:shd w:val="clear" w:color="000000" w:fill="FFFFFF"/>
            <w:noWrap/>
            <w:vAlign w:val="bottom"/>
            <w:hideMark/>
          </w:tcPr>
          <w:p w14:paraId="5D5876E7" w14:textId="0D1A9245" w:rsidR="00AD0B06" w:rsidRPr="00932660" w:rsidRDefault="00196162" w:rsidP="00196162">
            <w:pPr>
              <w:rPr>
                <w:rFonts w:ascii="Calibri" w:eastAsia="Times New Roman" w:hAnsi="Calibri" w:cs="Calibri"/>
                <w:color w:val="000000"/>
              </w:rPr>
            </w:pPr>
            <w:r>
              <w:rPr>
                <w:rFonts w:ascii="Calibri" w:eastAsia="Times New Roman" w:hAnsi="Calibri" w:cs="Calibri"/>
                <w:color w:val="000000"/>
              </w:rPr>
              <w:t>Gestión de Adquisiciones</w:t>
            </w:r>
          </w:p>
        </w:tc>
        <w:tc>
          <w:tcPr>
            <w:tcW w:w="162" w:type="pct"/>
            <w:tcBorders>
              <w:top w:val="nil"/>
              <w:left w:val="nil"/>
              <w:bottom w:val="single" w:sz="4" w:space="0" w:color="auto"/>
              <w:right w:val="single" w:sz="4" w:space="0" w:color="auto"/>
            </w:tcBorders>
            <w:shd w:val="clear" w:color="000000" w:fill="FFFFFF"/>
            <w:noWrap/>
            <w:vAlign w:val="bottom"/>
            <w:hideMark/>
          </w:tcPr>
          <w:p w14:paraId="25D66C3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E031E5A"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48B03365"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2AB07539"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4E8DC2C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2F76398A"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658A368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025AB94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6D81AEC7"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31B0308"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5E500253"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3E7621BD"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54F9259A"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75246BE5"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114C2010"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3076C0A2"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6C8D0E1"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71023342" w14:textId="77777777" w:rsidR="00AD0B06" w:rsidRPr="00932660" w:rsidRDefault="00AD0B06" w:rsidP="00196162">
            <w:pPr>
              <w:rPr>
                <w:rFonts w:ascii="Calibri" w:eastAsia="Times New Roman" w:hAnsi="Calibri" w:cs="Calibri"/>
                <w:color w:val="000000"/>
              </w:rPr>
            </w:pPr>
            <w:r w:rsidRPr="00932660">
              <w:rPr>
                <w:rFonts w:ascii="Calibri" w:eastAsia="Times New Roman" w:hAnsi="Calibri" w:cs="Calibri"/>
                <w:color w:val="000000"/>
              </w:rPr>
              <w:t> </w:t>
            </w:r>
          </w:p>
        </w:tc>
      </w:tr>
      <w:tr w:rsidR="004268EB" w:rsidRPr="00196162" w14:paraId="548932CD"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3DA0CC6C"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6</w:t>
            </w:r>
          </w:p>
        </w:tc>
        <w:tc>
          <w:tcPr>
            <w:tcW w:w="1146" w:type="pct"/>
            <w:tcBorders>
              <w:top w:val="nil"/>
              <w:left w:val="nil"/>
              <w:bottom w:val="single" w:sz="4" w:space="0" w:color="auto"/>
              <w:right w:val="single" w:sz="4" w:space="0" w:color="auto"/>
            </w:tcBorders>
            <w:shd w:val="clear" w:color="000000" w:fill="FFFFFF"/>
            <w:noWrap/>
            <w:vAlign w:val="bottom"/>
            <w:hideMark/>
          </w:tcPr>
          <w:p w14:paraId="5CCF3329" w14:textId="5236E5AF" w:rsidR="00AD0B06" w:rsidRPr="00196162" w:rsidRDefault="00196162" w:rsidP="00196162">
            <w:pPr>
              <w:rPr>
                <w:rFonts w:ascii="Calibri" w:eastAsia="Times New Roman" w:hAnsi="Calibri" w:cs="Calibri"/>
                <w:color w:val="000000"/>
              </w:rPr>
            </w:pPr>
            <w:r w:rsidRPr="00196162">
              <w:rPr>
                <w:rFonts w:ascii="Calibri" w:eastAsia="Times New Roman" w:hAnsi="Calibri" w:cs="Calibri"/>
                <w:color w:val="000000"/>
              </w:rPr>
              <w:t>Cumplimiento del acuerdo de subvenci</w:t>
            </w:r>
            <w:r>
              <w:rPr>
                <w:rFonts w:ascii="Calibri" w:eastAsia="Times New Roman" w:hAnsi="Calibri" w:cs="Calibri"/>
                <w:color w:val="000000"/>
              </w:rPr>
              <w:t>ón y la ley aplicable</w:t>
            </w:r>
          </w:p>
        </w:tc>
        <w:tc>
          <w:tcPr>
            <w:tcW w:w="162" w:type="pct"/>
            <w:tcBorders>
              <w:top w:val="nil"/>
              <w:left w:val="nil"/>
              <w:bottom w:val="single" w:sz="4" w:space="0" w:color="auto"/>
              <w:right w:val="single" w:sz="4" w:space="0" w:color="auto"/>
            </w:tcBorders>
            <w:shd w:val="clear" w:color="000000" w:fill="FFFFFF"/>
            <w:noWrap/>
            <w:vAlign w:val="bottom"/>
            <w:hideMark/>
          </w:tcPr>
          <w:p w14:paraId="13EA8344"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6BA733D"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59E3B317"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0F5A6196"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195E5E02"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54493423"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17621283"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286CDF5E"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73C1E054"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6FC7E5C8"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62C71FD1"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0C1C8000"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3C674921"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616D5B9E"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3B609411"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031D1796"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E1E8CF1"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4511BCEA"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r>
      <w:tr w:rsidR="004268EB" w:rsidRPr="00196162" w14:paraId="26B8BD9A" w14:textId="77777777" w:rsidTr="004268EB">
        <w:trPr>
          <w:trHeight w:val="300"/>
        </w:trPr>
        <w:tc>
          <w:tcPr>
            <w:tcW w:w="103" w:type="pct"/>
            <w:tcBorders>
              <w:top w:val="nil"/>
              <w:left w:val="single" w:sz="4" w:space="0" w:color="auto"/>
              <w:bottom w:val="single" w:sz="4" w:space="0" w:color="auto"/>
              <w:right w:val="single" w:sz="4" w:space="0" w:color="auto"/>
            </w:tcBorders>
            <w:shd w:val="clear" w:color="000000" w:fill="FFFFFF"/>
            <w:vAlign w:val="center"/>
            <w:hideMark/>
          </w:tcPr>
          <w:p w14:paraId="2E6EBB7D" w14:textId="77777777" w:rsidR="00AD0B06" w:rsidRPr="00932660" w:rsidRDefault="00AD0B06" w:rsidP="00196162">
            <w:pPr>
              <w:jc w:val="center"/>
              <w:rPr>
                <w:rFonts w:ascii="Calibri" w:eastAsia="Times New Roman" w:hAnsi="Calibri" w:cs="Calibri"/>
                <w:b/>
                <w:bCs/>
                <w:color w:val="000000"/>
              </w:rPr>
            </w:pPr>
            <w:r w:rsidRPr="00932660">
              <w:rPr>
                <w:rFonts w:ascii="Calibri" w:eastAsia="Times New Roman" w:hAnsi="Calibri" w:cs="Calibri"/>
                <w:b/>
                <w:bCs/>
                <w:color w:val="000000"/>
              </w:rPr>
              <w:t>7</w:t>
            </w:r>
          </w:p>
        </w:tc>
        <w:tc>
          <w:tcPr>
            <w:tcW w:w="1146" w:type="pct"/>
            <w:tcBorders>
              <w:top w:val="nil"/>
              <w:left w:val="nil"/>
              <w:bottom w:val="single" w:sz="4" w:space="0" w:color="auto"/>
              <w:right w:val="single" w:sz="4" w:space="0" w:color="auto"/>
            </w:tcBorders>
            <w:shd w:val="clear" w:color="000000" w:fill="FFFFFF"/>
            <w:noWrap/>
            <w:vAlign w:val="bottom"/>
            <w:hideMark/>
          </w:tcPr>
          <w:p w14:paraId="691B7C28" w14:textId="2A498B7F" w:rsidR="00AD0B06" w:rsidRPr="00196162" w:rsidRDefault="00196162" w:rsidP="00196162">
            <w:pPr>
              <w:rPr>
                <w:rFonts w:ascii="Calibri" w:eastAsia="Times New Roman" w:hAnsi="Calibri" w:cs="Calibri"/>
                <w:color w:val="000000"/>
              </w:rPr>
            </w:pPr>
            <w:r w:rsidRPr="00196162">
              <w:rPr>
                <w:rFonts w:ascii="Calibri" w:eastAsia="Times New Roman" w:hAnsi="Calibri" w:cs="Calibri"/>
                <w:color w:val="000000"/>
              </w:rPr>
              <w:t>Seguimiento del informe de auditor</w:t>
            </w:r>
            <w:r>
              <w:rPr>
                <w:rFonts w:ascii="Calibri" w:eastAsia="Times New Roman" w:hAnsi="Calibri" w:cs="Calibri"/>
                <w:color w:val="000000"/>
              </w:rPr>
              <w:t>ía anterior</w:t>
            </w:r>
          </w:p>
        </w:tc>
        <w:tc>
          <w:tcPr>
            <w:tcW w:w="162" w:type="pct"/>
            <w:tcBorders>
              <w:top w:val="nil"/>
              <w:left w:val="nil"/>
              <w:bottom w:val="single" w:sz="4" w:space="0" w:color="auto"/>
              <w:right w:val="single" w:sz="4" w:space="0" w:color="auto"/>
            </w:tcBorders>
            <w:shd w:val="clear" w:color="000000" w:fill="FFFFFF"/>
            <w:noWrap/>
            <w:vAlign w:val="bottom"/>
            <w:hideMark/>
          </w:tcPr>
          <w:p w14:paraId="5E76EAE3"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131DF6EF"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7F96FAF3"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350" w:type="pct"/>
            <w:tcBorders>
              <w:top w:val="nil"/>
              <w:left w:val="nil"/>
              <w:bottom w:val="single" w:sz="4" w:space="0" w:color="auto"/>
              <w:right w:val="single" w:sz="4" w:space="0" w:color="auto"/>
            </w:tcBorders>
            <w:shd w:val="clear" w:color="000000" w:fill="FFFFFF"/>
            <w:noWrap/>
            <w:vAlign w:val="bottom"/>
            <w:hideMark/>
          </w:tcPr>
          <w:p w14:paraId="5E262B18"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79502A6E"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1378C1B0"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50" w:type="pct"/>
            <w:tcBorders>
              <w:top w:val="nil"/>
              <w:left w:val="nil"/>
              <w:bottom w:val="single" w:sz="4" w:space="0" w:color="auto"/>
              <w:right w:val="single" w:sz="4" w:space="0" w:color="auto"/>
            </w:tcBorders>
            <w:shd w:val="clear" w:color="000000" w:fill="FFFFFF"/>
            <w:noWrap/>
            <w:vAlign w:val="bottom"/>
            <w:hideMark/>
          </w:tcPr>
          <w:p w14:paraId="1AAB3D01"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0" w:type="pct"/>
            <w:tcBorders>
              <w:top w:val="nil"/>
              <w:left w:val="nil"/>
              <w:bottom w:val="single" w:sz="4" w:space="0" w:color="auto"/>
              <w:right w:val="single" w:sz="4" w:space="0" w:color="auto"/>
            </w:tcBorders>
            <w:shd w:val="clear" w:color="000000" w:fill="FFFFFF"/>
            <w:noWrap/>
            <w:vAlign w:val="bottom"/>
            <w:hideMark/>
          </w:tcPr>
          <w:p w14:paraId="36500E74"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0" w:type="pct"/>
            <w:tcBorders>
              <w:top w:val="nil"/>
              <w:left w:val="nil"/>
              <w:bottom w:val="single" w:sz="4" w:space="0" w:color="auto"/>
              <w:right w:val="single" w:sz="4" w:space="0" w:color="auto"/>
            </w:tcBorders>
            <w:shd w:val="clear" w:color="000000" w:fill="FFFFFF"/>
            <w:noWrap/>
            <w:vAlign w:val="bottom"/>
            <w:hideMark/>
          </w:tcPr>
          <w:p w14:paraId="38474FBC"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8" w:type="pct"/>
            <w:tcBorders>
              <w:top w:val="nil"/>
              <w:left w:val="nil"/>
              <w:bottom w:val="single" w:sz="4" w:space="0" w:color="auto"/>
              <w:right w:val="single" w:sz="4" w:space="0" w:color="auto"/>
            </w:tcBorders>
            <w:shd w:val="clear" w:color="000000" w:fill="FFFFFF"/>
            <w:noWrap/>
            <w:vAlign w:val="bottom"/>
            <w:hideMark/>
          </w:tcPr>
          <w:p w14:paraId="22CA9FBD"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525ED13A"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62" w:type="pct"/>
            <w:tcBorders>
              <w:top w:val="nil"/>
              <w:left w:val="nil"/>
              <w:bottom w:val="single" w:sz="4" w:space="0" w:color="auto"/>
              <w:right w:val="single" w:sz="4" w:space="0" w:color="auto"/>
            </w:tcBorders>
            <w:shd w:val="clear" w:color="000000" w:fill="FFFFFF"/>
            <w:noWrap/>
            <w:vAlign w:val="bottom"/>
            <w:hideMark/>
          </w:tcPr>
          <w:p w14:paraId="1A8D876C"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09" w:type="pct"/>
            <w:tcBorders>
              <w:top w:val="nil"/>
              <w:left w:val="nil"/>
              <w:bottom w:val="single" w:sz="4" w:space="0" w:color="auto"/>
              <w:right w:val="single" w:sz="4" w:space="0" w:color="auto"/>
            </w:tcBorders>
            <w:shd w:val="clear" w:color="000000" w:fill="FFFFFF"/>
            <w:noWrap/>
            <w:vAlign w:val="bottom"/>
            <w:hideMark/>
          </w:tcPr>
          <w:p w14:paraId="4290FC8C"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4F35572F"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221" w:type="pct"/>
            <w:tcBorders>
              <w:top w:val="nil"/>
              <w:left w:val="nil"/>
              <w:bottom w:val="single" w:sz="4" w:space="0" w:color="auto"/>
              <w:right w:val="single" w:sz="4" w:space="0" w:color="auto"/>
            </w:tcBorders>
            <w:shd w:val="clear" w:color="000000" w:fill="FFFFFF"/>
            <w:noWrap/>
            <w:vAlign w:val="bottom"/>
            <w:hideMark/>
          </w:tcPr>
          <w:p w14:paraId="4C5E7520"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97" w:type="pct"/>
            <w:tcBorders>
              <w:top w:val="nil"/>
              <w:left w:val="nil"/>
              <w:bottom w:val="single" w:sz="4" w:space="0" w:color="auto"/>
              <w:right w:val="single" w:sz="4" w:space="0" w:color="auto"/>
            </w:tcBorders>
            <w:shd w:val="clear" w:color="000000" w:fill="FFFFFF"/>
            <w:noWrap/>
            <w:vAlign w:val="bottom"/>
            <w:hideMark/>
          </w:tcPr>
          <w:p w14:paraId="5EC0184D"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57" w:type="pct"/>
            <w:tcBorders>
              <w:top w:val="nil"/>
              <w:left w:val="nil"/>
              <w:bottom w:val="single" w:sz="4" w:space="0" w:color="auto"/>
              <w:right w:val="single" w:sz="4" w:space="0" w:color="auto"/>
            </w:tcBorders>
            <w:shd w:val="clear" w:color="000000" w:fill="FFFFFF"/>
            <w:noWrap/>
            <w:vAlign w:val="bottom"/>
            <w:hideMark/>
          </w:tcPr>
          <w:p w14:paraId="0A712D59"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c>
          <w:tcPr>
            <w:tcW w:w="191" w:type="pct"/>
            <w:tcBorders>
              <w:top w:val="nil"/>
              <w:left w:val="nil"/>
              <w:bottom w:val="single" w:sz="4" w:space="0" w:color="auto"/>
              <w:right w:val="single" w:sz="4" w:space="0" w:color="auto"/>
            </w:tcBorders>
            <w:shd w:val="clear" w:color="000000" w:fill="FFFFFF"/>
            <w:noWrap/>
            <w:vAlign w:val="bottom"/>
            <w:hideMark/>
          </w:tcPr>
          <w:p w14:paraId="32E56DF9" w14:textId="77777777" w:rsidR="00AD0B06" w:rsidRPr="00196162" w:rsidRDefault="00AD0B06" w:rsidP="00196162">
            <w:pPr>
              <w:rPr>
                <w:rFonts w:ascii="Calibri" w:eastAsia="Times New Roman" w:hAnsi="Calibri" w:cs="Calibri"/>
                <w:color w:val="000000"/>
              </w:rPr>
            </w:pPr>
            <w:r w:rsidRPr="00196162">
              <w:rPr>
                <w:rFonts w:ascii="Calibri" w:eastAsia="Times New Roman" w:hAnsi="Calibri" w:cs="Calibri"/>
                <w:color w:val="000000"/>
              </w:rPr>
              <w:t> </w:t>
            </w:r>
          </w:p>
        </w:tc>
      </w:tr>
    </w:tbl>
    <w:p w14:paraId="184E961D" w14:textId="42AD489B" w:rsidR="00AD0B06" w:rsidRPr="00196162" w:rsidRDefault="00AD0B06" w:rsidP="00AD0B06">
      <w:pPr>
        <w:spacing w:line="500" w:lineRule="exact"/>
        <w:jc w:val="both"/>
        <w:rPr>
          <w:rFonts w:ascii="Georgia" w:eastAsia="MS Gothic" w:hAnsi="Georgia" w:cs="Times New Roman"/>
          <w:bCs/>
          <w:noProof/>
          <w:color w:val="7F7F7F"/>
          <w:sz w:val="40"/>
          <w:szCs w:val="28"/>
        </w:rPr>
      </w:pPr>
    </w:p>
    <w:p w14:paraId="3E5A2D14" w14:textId="43796F3F" w:rsidR="00196162" w:rsidRPr="00077A67" w:rsidRDefault="00196162" w:rsidP="00196162">
      <w:pPr>
        <w:rPr>
          <w:rFonts w:ascii="Times New Roman" w:hAnsi="Times New Roman" w:cs="Times New Roman"/>
          <w:sz w:val="22"/>
          <w:szCs w:val="22"/>
        </w:rPr>
      </w:pPr>
      <w:r>
        <w:rPr>
          <w:rFonts w:ascii="Times New Roman" w:hAnsi="Times New Roman" w:cs="Times New Roman"/>
          <w:sz w:val="22"/>
          <w:szCs w:val="22"/>
        </w:rPr>
        <w:t>HALLAZGOS DE CONTROL INTERNO</w:t>
      </w:r>
    </w:p>
    <w:p w14:paraId="24803853" w14:textId="77777777" w:rsidR="00196162" w:rsidRPr="00077A67" w:rsidRDefault="00196162" w:rsidP="00196162">
      <w:pPr>
        <w:rPr>
          <w:rFonts w:ascii="Times New Roman" w:hAnsi="Times New Roman" w:cs="Times New Roman"/>
          <w:sz w:val="22"/>
          <w:szCs w:val="22"/>
        </w:rPr>
      </w:pPr>
    </w:p>
    <w:p w14:paraId="0CC74C7C" w14:textId="0D23AD5D" w:rsidR="00196162" w:rsidRPr="00890854" w:rsidRDefault="00196162" w:rsidP="00AD0B06">
      <w:pPr>
        <w:spacing w:line="500" w:lineRule="exact"/>
        <w:jc w:val="both"/>
        <w:rPr>
          <w:rFonts w:ascii="Georgia" w:eastAsia="MS Gothic" w:hAnsi="Georgia" w:cs="Times New Roman"/>
          <w:bCs/>
          <w:noProof/>
          <w:color w:val="7F7F7F"/>
          <w:sz w:val="40"/>
          <w:szCs w:val="28"/>
        </w:rPr>
      </w:pPr>
    </w:p>
    <w:p w14:paraId="2CBE8AA6" w14:textId="02F70D4F" w:rsidR="00196162" w:rsidRPr="00890854" w:rsidRDefault="00196162" w:rsidP="00AD0B06">
      <w:pPr>
        <w:spacing w:line="500" w:lineRule="exact"/>
        <w:jc w:val="both"/>
        <w:rPr>
          <w:rFonts w:ascii="Georgia" w:eastAsia="MS Gothic" w:hAnsi="Georgia" w:cs="Times New Roman"/>
          <w:bCs/>
          <w:noProof/>
          <w:color w:val="7F7F7F"/>
          <w:sz w:val="40"/>
          <w:szCs w:val="28"/>
        </w:rPr>
      </w:pPr>
    </w:p>
    <w:p w14:paraId="78408E1E" w14:textId="4ABAF4C7" w:rsidR="0038698C" w:rsidRPr="00890854" w:rsidRDefault="0038698C">
      <w:pPr>
        <w:rPr>
          <w:rFonts w:ascii="Times New Roman" w:hAnsi="Times New Roman" w:cs="Times New Roman"/>
          <w:b/>
        </w:rPr>
      </w:pPr>
    </w:p>
    <w:p w14:paraId="066E9ED9" w14:textId="085FFCB2" w:rsidR="0038698C" w:rsidRPr="00890854" w:rsidRDefault="0038698C">
      <w:pPr>
        <w:rPr>
          <w:rFonts w:ascii="Times New Roman" w:hAnsi="Times New Roman" w:cs="Times New Roman"/>
          <w:b/>
        </w:rPr>
      </w:pPr>
    </w:p>
    <w:p w14:paraId="656DE804" w14:textId="188D0E19" w:rsidR="007F38CE" w:rsidRPr="00890854" w:rsidRDefault="007F38CE">
      <w:pPr>
        <w:rPr>
          <w:rFonts w:ascii="Times New Roman" w:hAnsi="Times New Roman" w:cs="Times New Roman"/>
          <w:b/>
        </w:rPr>
      </w:pPr>
    </w:p>
    <w:p w14:paraId="7662828F" w14:textId="428FFE1A" w:rsidR="007F38CE" w:rsidRPr="00890854" w:rsidRDefault="007F38CE">
      <w:pPr>
        <w:rPr>
          <w:rFonts w:ascii="Times New Roman" w:hAnsi="Times New Roman" w:cs="Times New Roman"/>
          <w:b/>
        </w:rPr>
      </w:pPr>
    </w:p>
    <w:p w14:paraId="2913FED8" w14:textId="679FB728" w:rsidR="007F38CE" w:rsidRPr="00890854" w:rsidRDefault="007F38CE">
      <w:pPr>
        <w:rPr>
          <w:rFonts w:ascii="Times New Roman" w:hAnsi="Times New Roman" w:cs="Times New Roman"/>
          <w:b/>
        </w:rPr>
      </w:pPr>
    </w:p>
    <w:p w14:paraId="75426008" w14:textId="4A4BE698" w:rsidR="007F38CE" w:rsidRPr="00890854" w:rsidRDefault="007F38CE">
      <w:pPr>
        <w:rPr>
          <w:rFonts w:ascii="Times New Roman" w:hAnsi="Times New Roman" w:cs="Times New Roman"/>
          <w:b/>
        </w:rPr>
      </w:pPr>
    </w:p>
    <w:p w14:paraId="5CDA2F82" w14:textId="7D39B82C" w:rsidR="007F38CE" w:rsidRPr="00890854" w:rsidRDefault="007F38CE">
      <w:pPr>
        <w:rPr>
          <w:rFonts w:ascii="Times New Roman" w:hAnsi="Times New Roman" w:cs="Times New Roman"/>
          <w:b/>
        </w:rPr>
      </w:pPr>
    </w:p>
    <w:p w14:paraId="2A5B67A6" w14:textId="47769F50" w:rsidR="007F38CE" w:rsidRPr="00890854" w:rsidRDefault="007F38CE">
      <w:pPr>
        <w:rPr>
          <w:rFonts w:ascii="Times New Roman" w:hAnsi="Times New Roman" w:cs="Times New Roman"/>
          <w:b/>
        </w:rPr>
      </w:pPr>
    </w:p>
    <w:p w14:paraId="2CCA9E06" w14:textId="1EEE1D13" w:rsidR="007F38CE" w:rsidRPr="00890854" w:rsidRDefault="007F38CE">
      <w:pPr>
        <w:rPr>
          <w:rFonts w:ascii="Times New Roman" w:hAnsi="Times New Roman" w:cs="Times New Roman"/>
          <w:b/>
        </w:rPr>
      </w:pPr>
    </w:p>
    <w:p w14:paraId="2FDE1F58" w14:textId="15AA42BF" w:rsidR="007F38CE" w:rsidRPr="00890854" w:rsidRDefault="007F38CE">
      <w:pPr>
        <w:rPr>
          <w:rFonts w:ascii="Times New Roman" w:hAnsi="Times New Roman" w:cs="Times New Roman"/>
          <w:b/>
        </w:rPr>
      </w:pPr>
    </w:p>
    <w:p w14:paraId="3FCF613E" w14:textId="22D72970" w:rsidR="007F38CE" w:rsidRPr="00890854" w:rsidRDefault="007F38CE">
      <w:pPr>
        <w:rPr>
          <w:rFonts w:ascii="Times New Roman" w:hAnsi="Times New Roman" w:cs="Times New Roman"/>
          <w:b/>
        </w:rPr>
      </w:pPr>
    </w:p>
    <w:p w14:paraId="335D7013" w14:textId="68D949C5" w:rsidR="007F38CE" w:rsidRPr="00890854" w:rsidRDefault="007F38CE">
      <w:pPr>
        <w:rPr>
          <w:rFonts w:ascii="Times New Roman" w:hAnsi="Times New Roman" w:cs="Times New Roman"/>
          <w:b/>
        </w:rPr>
      </w:pPr>
    </w:p>
    <w:p w14:paraId="72EFF26A" w14:textId="2F024BC8" w:rsidR="007F38CE" w:rsidRPr="00890854" w:rsidRDefault="007F38CE">
      <w:pPr>
        <w:rPr>
          <w:rFonts w:ascii="Times New Roman" w:hAnsi="Times New Roman" w:cs="Times New Roman"/>
          <w:b/>
        </w:rPr>
      </w:pPr>
    </w:p>
    <w:p w14:paraId="0621FFD1" w14:textId="6D7F3161" w:rsidR="00196162" w:rsidRPr="00890854" w:rsidRDefault="00196162">
      <w:pPr>
        <w:rPr>
          <w:rFonts w:ascii="Times New Roman" w:hAnsi="Times New Roman" w:cs="Times New Roman"/>
          <w:b/>
        </w:rPr>
      </w:pPr>
    </w:p>
    <w:p w14:paraId="439647AE" w14:textId="1F02169F" w:rsidR="00196162" w:rsidRPr="00890854" w:rsidRDefault="00196162">
      <w:pPr>
        <w:rPr>
          <w:rFonts w:ascii="Times New Roman" w:hAnsi="Times New Roman" w:cs="Times New Roman"/>
          <w:b/>
        </w:rPr>
      </w:pPr>
    </w:p>
    <w:p w14:paraId="2E2A9D11" w14:textId="3F6A5A62" w:rsidR="00196162" w:rsidRPr="00890854" w:rsidRDefault="00196162">
      <w:pPr>
        <w:rPr>
          <w:rFonts w:ascii="Times New Roman" w:hAnsi="Times New Roman" w:cs="Times New Roman"/>
          <w:b/>
        </w:rPr>
      </w:pPr>
    </w:p>
    <w:p w14:paraId="28EEEB79" w14:textId="77777777" w:rsidR="00196162" w:rsidRDefault="00196162" w:rsidP="00914CD9">
      <w:pPr>
        <w:jc w:val="both"/>
        <w:rPr>
          <w:rFonts w:ascii="Times New Roman" w:hAnsi="Times New Roman" w:cs="Times New Roman"/>
          <w:b/>
        </w:rPr>
      </w:pPr>
    </w:p>
    <w:p w14:paraId="2AC7B633" w14:textId="77777777" w:rsidR="00196162" w:rsidRDefault="00196162" w:rsidP="00914CD9">
      <w:pPr>
        <w:jc w:val="both"/>
        <w:rPr>
          <w:rFonts w:ascii="Times New Roman" w:hAnsi="Times New Roman" w:cs="Times New Roman"/>
          <w:b/>
        </w:rPr>
      </w:pPr>
    </w:p>
    <w:p w14:paraId="283A9060" w14:textId="77777777" w:rsidR="00196162" w:rsidRDefault="00196162" w:rsidP="00914CD9">
      <w:pPr>
        <w:jc w:val="both"/>
        <w:rPr>
          <w:rFonts w:ascii="Times New Roman" w:hAnsi="Times New Roman" w:cs="Times New Roman"/>
          <w:b/>
        </w:rPr>
      </w:pPr>
    </w:p>
    <w:p w14:paraId="781C4527" w14:textId="77777777" w:rsidR="00196162" w:rsidRDefault="00196162" w:rsidP="00914CD9">
      <w:pPr>
        <w:jc w:val="both"/>
        <w:rPr>
          <w:rFonts w:ascii="Times New Roman" w:hAnsi="Times New Roman" w:cs="Times New Roman"/>
          <w:b/>
        </w:rPr>
      </w:pPr>
    </w:p>
    <w:p w14:paraId="21D76D9A" w14:textId="77777777" w:rsidR="00196162" w:rsidRDefault="00196162" w:rsidP="00914CD9">
      <w:pPr>
        <w:jc w:val="both"/>
        <w:rPr>
          <w:rFonts w:ascii="Times New Roman" w:hAnsi="Times New Roman" w:cs="Times New Roman"/>
          <w:b/>
        </w:rPr>
      </w:pPr>
    </w:p>
    <w:p w14:paraId="2E1AB542" w14:textId="77777777" w:rsidR="00196162" w:rsidRDefault="00196162" w:rsidP="00914CD9">
      <w:pPr>
        <w:jc w:val="both"/>
        <w:rPr>
          <w:rFonts w:ascii="Times New Roman" w:hAnsi="Times New Roman" w:cs="Times New Roman"/>
          <w:b/>
        </w:rPr>
      </w:pPr>
    </w:p>
    <w:p w14:paraId="7251C891" w14:textId="77777777" w:rsidR="00196162" w:rsidRDefault="00196162" w:rsidP="00914CD9">
      <w:pPr>
        <w:jc w:val="both"/>
        <w:rPr>
          <w:rFonts w:ascii="Times New Roman" w:hAnsi="Times New Roman" w:cs="Times New Roman"/>
          <w:b/>
        </w:rPr>
      </w:pPr>
    </w:p>
    <w:p w14:paraId="4054F9F8" w14:textId="77777777" w:rsidR="00196162" w:rsidRDefault="00196162" w:rsidP="00914CD9">
      <w:pPr>
        <w:jc w:val="both"/>
        <w:rPr>
          <w:rFonts w:ascii="Times New Roman" w:hAnsi="Times New Roman" w:cs="Times New Roman"/>
          <w:b/>
        </w:rPr>
      </w:pPr>
    </w:p>
    <w:p w14:paraId="57CF952C" w14:textId="007FC27E" w:rsidR="009D5C43" w:rsidRPr="00AD66A6" w:rsidRDefault="009D5C43" w:rsidP="00914CD9">
      <w:pPr>
        <w:jc w:val="both"/>
        <w:rPr>
          <w:rFonts w:ascii="Times New Roman" w:hAnsi="Times New Roman" w:cs="Times New Roman"/>
          <w:b/>
        </w:rPr>
      </w:pPr>
      <w:r w:rsidRPr="00AD66A6">
        <w:rPr>
          <w:rFonts w:ascii="Times New Roman" w:hAnsi="Times New Roman" w:cs="Times New Roman"/>
          <w:b/>
        </w:rPr>
        <w:t>Anexo 2: Plantilla de la base de caja de los estados financieros y conciliación de compromisos</w:t>
      </w:r>
    </w:p>
    <w:p w14:paraId="1ABCF8A7" w14:textId="4B984517" w:rsidR="009D5C43" w:rsidRDefault="009D5C43" w:rsidP="00914CD9">
      <w:pPr>
        <w:jc w:val="both"/>
        <w:rPr>
          <w:rFonts w:ascii="Times New Roman" w:hAnsi="Times New Roman" w:cs="Times New Roman"/>
          <w:sz w:val="22"/>
          <w:szCs w:val="22"/>
        </w:rPr>
      </w:pPr>
    </w:p>
    <w:p w14:paraId="1DDB31D9" w14:textId="77777777" w:rsidR="009D5C43" w:rsidRPr="00325F25" w:rsidRDefault="009D5C43" w:rsidP="00914CD9">
      <w:pPr>
        <w:tabs>
          <w:tab w:val="left" w:pos="7530"/>
        </w:tabs>
        <w:spacing w:after="120"/>
        <w:jc w:val="both"/>
        <w:rPr>
          <w:rFonts w:eastAsia="Times New Roman" w:cs="Arial"/>
          <w:b/>
          <w:lang w:val="es-ES_tradnl"/>
        </w:rPr>
      </w:pPr>
      <w:r w:rsidRPr="00325F25">
        <w:rPr>
          <w:rFonts w:eastAsia="Times New Roman" w:cs="Arial"/>
          <w:b/>
          <w:lang w:val="es-ES_tradnl"/>
        </w:rPr>
        <w:t xml:space="preserve">Nota </w:t>
      </w:r>
      <w:r w:rsidRPr="001D69CE">
        <w:rPr>
          <w:rFonts w:eastAsia="Times New Roman" w:cs="Arial"/>
          <w:b/>
          <w:lang w:val="es-ES_tradnl"/>
        </w:rPr>
        <w:t>orientativa</w:t>
      </w:r>
      <w:r w:rsidRPr="00325F25">
        <w:rPr>
          <w:rFonts w:eastAsia="Times New Roman" w:cs="Arial"/>
          <w:b/>
          <w:lang w:val="es-ES_tradnl"/>
        </w:rPr>
        <w:t xml:space="preserve"> </w:t>
      </w:r>
    </w:p>
    <w:p w14:paraId="7D140EE5" w14:textId="77777777" w:rsidR="009D5C43" w:rsidRPr="001D69CE" w:rsidRDefault="009D5C43" w:rsidP="00914CD9">
      <w:pPr>
        <w:tabs>
          <w:tab w:val="left" w:pos="7530"/>
        </w:tabs>
        <w:spacing w:after="120"/>
        <w:jc w:val="both"/>
        <w:rPr>
          <w:rFonts w:eastAsia="Times New Roman" w:cs="Arial"/>
          <w:lang w:val="es-ES_tradnl"/>
        </w:rPr>
      </w:pPr>
      <w:r w:rsidRPr="001D69CE">
        <w:rPr>
          <w:rFonts w:eastAsia="Times New Roman" w:cs="Arial"/>
          <w:lang w:val="es-ES_tradnl"/>
        </w:rPr>
        <w:t xml:space="preserve">Los estados financieros incluidos en la Figura 1 que se muestra </w:t>
      </w:r>
      <w:r>
        <w:rPr>
          <w:rFonts w:eastAsia="Times New Roman" w:cs="Arial"/>
          <w:lang w:val="es-ES_tradnl"/>
        </w:rPr>
        <w:t>más abajo</w:t>
      </w:r>
      <w:r w:rsidRPr="001D69CE">
        <w:rPr>
          <w:rFonts w:eastAsia="Times New Roman" w:cs="Arial"/>
          <w:lang w:val="es-ES_tradnl"/>
        </w:rPr>
        <w:t xml:space="preserve"> representan un estado financiero ilustrativo que se espera que los receptores principales proporcionen a sus auditores para la auditoria de los estados financieros de la subvención con fines especiales.</w:t>
      </w:r>
    </w:p>
    <w:p w14:paraId="058C68D2" w14:textId="77777777" w:rsidR="009D5C43" w:rsidRPr="00325F25" w:rsidRDefault="009D5C43" w:rsidP="00914CD9">
      <w:pPr>
        <w:tabs>
          <w:tab w:val="left" w:pos="7530"/>
        </w:tabs>
        <w:spacing w:after="120"/>
        <w:jc w:val="both"/>
        <w:rPr>
          <w:rFonts w:eastAsia="Times New Roman" w:cs="Arial"/>
          <w:lang w:val="es-ES_tradnl"/>
        </w:rPr>
      </w:pPr>
    </w:p>
    <w:p w14:paraId="769DFD0E" w14:textId="77777777" w:rsidR="009D5C43" w:rsidRPr="001F43E0" w:rsidRDefault="009D5C43" w:rsidP="00914CD9">
      <w:pPr>
        <w:tabs>
          <w:tab w:val="left" w:pos="7530"/>
        </w:tabs>
        <w:spacing w:after="120"/>
        <w:jc w:val="both"/>
        <w:rPr>
          <w:rFonts w:eastAsia="Times New Roman" w:cs="Arial"/>
          <w:b/>
          <w:lang w:val="es-ES_tradnl"/>
        </w:rPr>
      </w:pPr>
      <w:r w:rsidRPr="001F43E0">
        <w:rPr>
          <w:rFonts w:eastAsia="Times New Roman" w:cs="Arial"/>
          <w:b/>
          <w:lang w:val="es-ES_tradnl"/>
        </w:rPr>
        <w:t xml:space="preserve">Estados obligatorios </w:t>
      </w:r>
    </w:p>
    <w:p w14:paraId="2601E7D7" w14:textId="77777777" w:rsidR="009D5C43" w:rsidRPr="001F43E0" w:rsidRDefault="009D5C43" w:rsidP="00914CD9">
      <w:pPr>
        <w:tabs>
          <w:tab w:val="left" w:pos="7530"/>
        </w:tabs>
        <w:spacing w:after="120"/>
        <w:jc w:val="both"/>
        <w:rPr>
          <w:rFonts w:eastAsia="Times New Roman" w:cs="Arial"/>
          <w:lang w:val="es-ES_tradnl"/>
        </w:rPr>
      </w:pPr>
      <w:r>
        <w:rPr>
          <w:rFonts w:eastAsia="Times New Roman" w:cs="Arial"/>
          <w:lang w:val="es-ES_tradnl"/>
        </w:rPr>
        <w:t xml:space="preserve">Los receptores principales </w:t>
      </w:r>
      <w:r w:rsidRPr="001C5AA4">
        <w:rPr>
          <w:rFonts w:eastAsia="Times New Roman" w:cs="Arial"/>
          <w:b/>
          <w:lang w:val="es-ES_tradnl"/>
        </w:rPr>
        <w:t>deben</w:t>
      </w:r>
      <w:r>
        <w:rPr>
          <w:rFonts w:eastAsia="Times New Roman" w:cs="Arial"/>
          <w:lang w:val="es-ES_tradnl"/>
        </w:rPr>
        <w:t xml:space="preserve"> proporcionar </w:t>
      </w:r>
      <w:r w:rsidRPr="001F43E0">
        <w:rPr>
          <w:rFonts w:eastAsia="Times New Roman" w:cs="Arial"/>
          <w:lang w:val="es-ES_tradnl"/>
        </w:rPr>
        <w:t>a los auditores</w:t>
      </w:r>
      <w:r>
        <w:rPr>
          <w:rFonts w:eastAsia="Times New Roman" w:cs="Arial"/>
          <w:lang w:val="es-ES_tradnl"/>
        </w:rPr>
        <w:t xml:space="preserve"> t</w:t>
      </w:r>
      <w:r w:rsidRPr="001F43E0">
        <w:rPr>
          <w:rFonts w:eastAsia="Times New Roman" w:cs="Arial"/>
          <w:lang w:val="es-ES_tradnl"/>
        </w:rPr>
        <w:t>odos los estados según lo dispuesto</w:t>
      </w:r>
      <w:r>
        <w:rPr>
          <w:rFonts w:eastAsia="Times New Roman" w:cs="Arial"/>
          <w:lang w:val="es-ES_tradnl"/>
        </w:rPr>
        <w:t xml:space="preserve"> por las directrices de auditorí</w:t>
      </w:r>
      <w:r w:rsidRPr="001F43E0">
        <w:rPr>
          <w:rFonts w:eastAsia="Times New Roman" w:cs="Arial"/>
          <w:lang w:val="es-ES_tradnl"/>
        </w:rPr>
        <w:t>a y los términos de referencia para que puedan realizar adecuadamente su trabajo, a saber:</w:t>
      </w:r>
    </w:p>
    <w:p w14:paraId="413CB750" w14:textId="77777777" w:rsidR="009D5C43" w:rsidRPr="00971DDF" w:rsidRDefault="009D5C43" w:rsidP="00914CD9">
      <w:pPr>
        <w:widowControl/>
        <w:numPr>
          <w:ilvl w:val="0"/>
          <w:numId w:val="20"/>
        </w:numPr>
        <w:tabs>
          <w:tab w:val="left" w:pos="7530"/>
        </w:tabs>
        <w:suppressAutoHyphens w:val="0"/>
        <w:spacing w:after="120" w:line="240" w:lineRule="atLeast"/>
        <w:ind w:left="1170"/>
        <w:contextualSpacing/>
        <w:jc w:val="both"/>
        <w:rPr>
          <w:rFonts w:eastAsia="Times New Roman" w:cs="Arial"/>
          <w:lang w:val="es-ES_tradnl"/>
        </w:rPr>
      </w:pPr>
      <w:r w:rsidRPr="00971DDF">
        <w:rPr>
          <w:rFonts w:eastAsia="Times New Roman" w:cs="Arial"/>
          <w:lang w:val="es-ES_tradnl"/>
        </w:rPr>
        <w:t xml:space="preserve">El formato del "estado de ingresos y gastos" en la Figura 1 que se muestra más abajo, es obligatorio y </w:t>
      </w:r>
      <w:r w:rsidRPr="00971DDF">
        <w:rPr>
          <w:rFonts w:eastAsia="Times New Roman" w:cs="Arial"/>
          <w:b/>
          <w:lang w:val="es-ES_tradnl"/>
        </w:rPr>
        <w:t>debe</w:t>
      </w:r>
      <w:r w:rsidRPr="00971DDF">
        <w:rPr>
          <w:rFonts w:eastAsia="Times New Roman" w:cs="Arial"/>
          <w:lang w:val="es-ES_tradnl"/>
        </w:rPr>
        <w:t xml:space="preserve"> utilizarse por todos los receptores principales;</w:t>
      </w:r>
    </w:p>
    <w:p w14:paraId="51515340" w14:textId="77777777" w:rsidR="009D5C43" w:rsidRPr="00971DDF" w:rsidRDefault="009D5C43" w:rsidP="00914CD9">
      <w:pPr>
        <w:widowControl/>
        <w:numPr>
          <w:ilvl w:val="0"/>
          <w:numId w:val="20"/>
        </w:numPr>
        <w:tabs>
          <w:tab w:val="left" w:pos="7530"/>
        </w:tabs>
        <w:suppressAutoHyphens w:val="0"/>
        <w:spacing w:after="120" w:line="240" w:lineRule="atLeast"/>
        <w:ind w:left="1170"/>
        <w:contextualSpacing/>
        <w:jc w:val="both"/>
        <w:rPr>
          <w:rFonts w:eastAsia="Times New Roman" w:cs="Arial"/>
          <w:lang w:val="es-ES_tradnl"/>
        </w:rPr>
      </w:pPr>
      <w:r w:rsidRPr="00971DDF">
        <w:rPr>
          <w:rFonts w:eastAsia="Times New Roman" w:cs="Arial"/>
          <w:lang w:val="es-ES_tradnl"/>
        </w:rPr>
        <w:t xml:space="preserve">Asimismo, las notas que proporcionen información específica sobre los principios contables utilizados en la preparación de los estados financieros son </w:t>
      </w:r>
      <w:r w:rsidRPr="00971DDF">
        <w:rPr>
          <w:rFonts w:eastAsia="Times New Roman" w:cs="Arial"/>
          <w:b/>
          <w:lang w:val="es-ES_tradnl"/>
        </w:rPr>
        <w:t>obligatorios</w:t>
      </w:r>
      <w:r w:rsidRPr="00971DDF">
        <w:rPr>
          <w:rFonts w:eastAsia="Times New Roman" w:cs="Arial"/>
          <w:lang w:val="es-ES_tradnl"/>
        </w:rPr>
        <w:t>;</w:t>
      </w:r>
    </w:p>
    <w:p w14:paraId="37F39A43" w14:textId="77777777" w:rsidR="009D5C43" w:rsidRPr="00971DDF" w:rsidRDefault="009D5C43" w:rsidP="00914CD9">
      <w:pPr>
        <w:widowControl/>
        <w:numPr>
          <w:ilvl w:val="0"/>
          <w:numId w:val="20"/>
        </w:numPr>
        <w:tabs>
          <w:tab w:val="left" w:pos="7530"/>
        </w:tabs>
        <w:suppressAutoHyphens w:val="0"/>
        <w:spacing w:after="120" w:line="240" w:lineRule="atLeast"/>
        <w:ind w:left="1170"/>
        <w:contextualSpacing/>
        <w:jc w:val="both"/>
        <w:rPr>
          <w:rFonts w:eastAsia="Times New Roman" w:cs="Arial"/>
          <w:lang w:val="es-ES_tradnl"/>
        </w:rPr>
      </w:pPr>
      <w:r w:rsidRPr="00971DDF">
        <w:rPr>
          <w:rFonts w:eastAsia="Times New Roman" w:cs="Arial"/>
          <w:lang w:val="es-ES_tradnl"/>
        </w:rPr>
        <w:t>El calendario de compromisos complementario (</w:t>
      </w:r>
      <w:r w:rsidRPr="00971DDF">
        <w:rPr>
          <w:rFonts w:eastAsia="Times New Roman" w:cs="Arial"/>
          <w:b/>
          <w:lang w:val="es-ES_tradnl"/>
        </w:rPr>
        <w:t>Nota 9</w:t>
      </w:r>
      <w:r w:rsidRPr="00971DDF">
        <w:rPr>
          <w:rFonts w:eastAsia="Times New Roman" w:cs="Arial"/>
          <w:lang w:val="es-ES_tradnl"/>
        </w:rPr>
        <w:t xml:space="preserve">) </w:t>
      </w:r>
      <w:r w:rsidRPr="00971DDF">
        <w:rPr>
          <w:rFonts w:eastAsia="Times New Roman" w:cs="Arial"/>
          <w:b/>
          <w:lang w:val="es-ES_tradnl"/>
        </w:rPr>
        <w:t>debe</w:t>
      </w:r>
      <w:r w:rsidRPr="00971DDF">
        <w:rPr>
          <w:rFonts w:eastAsia="Times New Roman" w:cs="Arial"/>
          <w:lang w:val="es-ES_tradnl"/>
        </w:rPr>
        <w:t xml:space="preserve"> proporcionarse y auditarse;</w:t>
      </w:r>
    </w:p>
    <w:p w14:paraId="1771D848" w14:textId="77777777" w:rsidR="009D5C43" w:rsidRPr="00971DDF" w:rsidRDefault="009D5C43" w:rsidP="00914CD9">
      <w:pPr>
        <w:widowControl/>
        <w:numPr>
          <w:ilvl w:val="0"/>
          <w:numId w:val="20"/>
        </w:numPr>
        <w:tabs>
          <w:tab w:val="left" w:pos="7530"/>
        </w:tabs>
        <w:suppressAutoHyphens w:val="0"/>
        <w:spacing w:after="120" w:line="240" w:lineRule="atLeast"/>
        <w:ind w:left="1170"/>
        <w:contextualSpacing/>
        <w:jc w:val="both"/>
        <w:rPr>
          <w:rFonts w:eastAsia="Times New Roman" w:cs="Arial"/>
          <w:lang w:val="es-ES_tradnl"/>
        </w:rPr>
      </w:pPr>
      <w:r w:rsidRPr="00971DDF">
        <w:rPr>
          <w:rFonts w:eastAsia="Times New Roman" w:cs="Arial"/>
          <w:lang w:val="es-ES_tradnl"/>
        </w:rPr>
        <w:t>Las diferentes tablas sobre los anticipos del Subreceptor (</w:t>
      </w:r>
      <w:r w:rsidRPr="00971DDF">
        <w:rPr>
          <w:rFonts w:eastAsia="Times New Roman" w:cs="Arial"/>
          <w:b/>
          <w:lang w:val="es-ES_tradnl"/>
        </w:rPr>
        <w:t>Nota 11</w:t>
      </w:r>
      <w:r w:rsidRPr="00971DDF">
        <w:rPr>
          <w:rFonts w:eastAsia="Times New Roman" w:cs="Arial"/>
          <w:lang w:val="es-ES_tradnl"/>
        </w:rPr>
        <w:t>) y los activos fijos (</w:t>
      </w:r>
      <w:r w:rsidRPr="00971DDF">
        <w:rPr>
          <w:rFonts w:eastAsia="Times New Roman" w:cs="Arial"/>
          <w:b/>
          <w:lang w:val="es-ES_tradnl"/>
        </w:rPr>
        <w:t>Nota 12</w:t>
      </w:r>
      <w:r w:rsidRPr="00971DDF">
        <w:rPr>
          <w:rFonts w:eastAsia="Times New Roman" w:cs="Arial"/>
          <w:lang w:val="es-ES_tradnl"/>
        </w:rPr>
        <w:t xml:space="preserve">) </w:t>
      </w:r>
      <w:r w:rsidRPr="00971DDF">
        <w:rPr>
          <w:rFonts w:eastAsia="Times New Roman" w:cs="Arial"/>
          <w:b/>
          <w:lang w:val="es-ES_tradnl"/>
        </w:rPr>
        <w:t>deben</w:t>
      </w:r>
      <w:r w:rsidRPr="00971DDF">
        <w:rPr>
          <w:rFonts w:eastAsia="Times New Roman" w:cs="Arial"/>
          <w:lang w:val="es-ES_tradnl"/>
        </w:rPr>
        <w:t xml:space="preserve"> proporcionarse.</w:t>
      </w:r>
    </w:p>
    <w:p w14:paraId="0582F0C4" w14:textId="77777777" w:rsidR="009D5C43" w:rsidRPr="00325F25" w:rsidRDefault="009D5C43" w:rsidP="00914CD9">
      <w:pPr>
        <w:tabs>
          <w:tab w:val="left" w:pos="7530"/>
        </w:tabs>
        <w:spacing w:after="120"/>
        <w:ind w:left="1170"/>
        <w:contextualSpacing/>
        <w:jc w:val="both"/>
        <w:rPr>
          <w:rFonts w:eastAsia="Times New Roman" w:cs="Arial"/>
          <w:lang w:val="es-ES_tradnl"/>
        </w:rPr>
      </w:pPr>
    </w:p>
    <w:p w14:paraId="0B5B41EF" w14:textId="77777777" w:rsidR="009D5C43" w:rsidRPr="00EB5597" w:rsidRDefault="009D5C43" w:rsidP="00914CD9">
      <w:pPr>
        <w:tabs>
          <w:tab w:val="left" w:pos="7530"/>
        </w:tabs>
        <w:spacing w:after="120"/>
        <w:jc w:val="both"/>
        <w:rPr>
          <w:rFonts w:eastAsia="Times New Roman" w:cs="Arial"/>
          <w:b/>
          <w:lang w:val="es-ES_tradnl"/>
        </w:rPr>
      </w:pPr>
      <w:r w:rsidRPr="00EB5597">
        <w:rPr>
          <w:rFonts w:eastAsia="Times New Roman" w:cs="Arial"/>
          <w:b/>
          <w:lang w:val="es-ES_tradnl"/>
        </w:rPr>
        <w:t>Otras notas</w:t>
      </w:r>
    </w:p>
    <w:p w14:paraId="71BAA4AF" w14:textId="209471CC" w:rsidR="009D5C43" w:rsidRDefault="009D5C43" w:rsidP="00AD22D2">
      <w:pPr>
        <w:jc w:val="both"/>
        <w:rPr>
          <w:rFonts w:ascii="Times New Roman" w:hAnsi="Times New Roman" w:cs="Times New Roman"/>
          <w:sz w:val="22"/>
          <w:szCs w:val="22"/>
        </w:rPr>
      </w:pPr>
      <w:r>
        <w:rPr>
          <w:rFonts w:eastAsia="Times New Roman" w:cs="Arial"/>
          <w:lang w:val="es-ES_tradnl"/>
        </w:rPr>
        <w:t xml:space="preserve">Las </w:t>
      </w:r>
      <w:r w:rsidRPr="00315063">
        <w:rPr>
          <w:rFonts w:eastAsia="Times New Roman" w:cs="Arial"/>
          <w:lang w:val="es-ES_tradnl"/>
        </w:rPr>
        <w:t xml:space="preserve">notas de los estados financieros representan una parte integral de los estados financieros. El Receptor Principal </w:t>
      </w:r>
      <w:r w:rsidRPr="00EB5597">
        <w:rPr>
          <w:rFonts w:eastAsia="Times New Roman" w:cs="Arial"/>
          <w:lang w:val="es-ES_tradnl"/>
        </w:rPr>
        <w:t>debe</w:t>
      </w:r>
      <w:r w:rsidRPr="00315063">
        <w:rPr>
          <w:rFonts w:eastAsia="Times New Roman" w:cs="Arial"/>
          <w:b/>
          <w:lang w:val="es-ES_tradnl"/>
        </w:rPr>
        <w:t xml:space="preserve"> </w:t>
      </w:r>
      <w:r w:rsidRPr="00315063">
        <w:rPr>
          <w:rFonts w:eastAsia="Times New Roman" w:cs="Arial"/>
          <w:lang w:val="es-ES_tradnl"/>
        </w:rPr>
        <w:t>asegurar que dichas notas se faciliten donde quiera que proporcionen información adicional para que las partes interesadas tengan una mayor comp</w:t>
      </w:r>
      <w:r>
        <w:rPr>
          <w:rFonts w:eastAsia="Times New Roman" w:cs="Arial"/>
          <w:lang w:val="es-ES_tradnl"/>
        </w:rPr>
        <w:t>r</w:t>
      </w:r>
      <w:r w:rsidRPr="00315063">
        <w:rPr>
          <w:rFonts w:eastAsia="Times New Roman" w:cs="Arial"/>
          <w:lang w:val="es-ES_tradnl"/>
        </w:rPr>
        <w:t xml:space="preserve">ensión de los estados financieros. Los siguientes podrían ser casos en los que </w:t>
      </w:r>
      <w:r>
        <w:rPr>
          <w:rFonts w:eastAsia="Times New Roman" w:cs="Arial"/>
          <w:lang w:val="es-ES_tradnl"/>
        </w:rPr>
        <w:t>cabría esperar</w:t>
      </w:r>
      <w:r w:rsidRPr="00315063">
        <w:rPr>
          <w:rFonts w:eastAsia="Times New Roman" w:cs="Arial"/>
          <w:lang w:val="es-ES_tradnl"/>
        </w:rPr>
        <w:t xml:space="preserve"> una nota de los estados financieros</w:t>
      </w:r>
      <w:r w:rsidRPr="00325F25">
        <w:rPr>
          <w:rFonts w:eastAsia="Times New Roman" w:cs="Arial"/>
          <w:lang w:val="es-ES_tradnl"/>
        </w:rPr>
        <w:t xml:space="preserve">: </w:t>
      </w:r>
      <w:r w:rsidRPr="00982AE6">
        <w:rPr>
          <w:rFonts w:eastAsia="Times New Roman" w:cs="Arial"/>
          <w:lang w:val="es-ES_tradnl"/>
        </w:rPr>
        <w:t>cantidad sustancial, cambio significativo respect</w:t>
      </w:r>
      <w:r>
        <w:rPr>
          <w:rFonts w:eastAsia="Times New Roman" w:cs="Arial"/>
          <w:lang w:val="es-ES_tradnl"/>
        </w:rPr>
        <w:t>o</w:t>
      </w:r>
      <w:r w:rsidRPr="00982AE6">
        <w:rPr>
          <w:rFonts w:eastAsia="Times New Roman" w:cs="Arial"/>
          <w:lang w:val="es-ES_tradnl"/>
        </w:rPr>
        <w:t xml:space="preserve"> del año anterior, variación significativa con el presupuesto, etc</w:t>
      </w:r>
    </w:p>
    <w:p w14:paraId="70E6DF0C" w14:textId="1DE02AD8" w:rsidR="009D5C43" w:rsidRDefault="009D5C43">
      <w:pPr>
        <w:rPr>
          <w:rFonts w:ascii="Times New Roman" w:hAnsi="Times New Roman" w:cs="Times New Roman"/>
          <w:sz w:val="22"/>
          <w:szCs w:val="22"/>
        </w:rPr>
      </w:pPr>
    </w:p>
    <w:p w14:paraId="3BD86062" w14:textId="2EEDF110" w:rsidR="009D5C43" w:rsidRDefault="009D5C43">
      <w:pPr>
        <w:rPr>
          <w:rFonts w:ascii="Times New Roman" w:hAnsi="Times New Roman" w:cs="Times New Roman"/>
          <w:sz w:val="22"/>
          <w:szCs w:val="22"/>
        </w:rPr>
      </w:pPr>
    </w:p>
    <w:p w14:paraId="4E41EE66" w14:textId="77777777" w:rsidR="00AD22D2" w:rsidRDefault="00AD22D2" w:rsidP="00914CD9">
      <w:pPr>
        <w:tabs>
          <w:tab w:val="left" w:pos="1845"/>
        </w:tabs>
        <w:rPr>
          <w:rFonts w:eastAsia="Times New Roman" w:cs="Arial"/>
          <w:b/>
          <w:lang w:val="es-ES_tradnl"/>
        </w:rPr>
      </w:pPr>
    </w:p>
    <w:p w14:paraId="5B6CF7E4" w14:textId="77777777" w:rsidR="00AD22D2" w:rsidRDefault="00AD22D2" w:rsidP="00914CD9">
      <w:pPr>
        <w:tabs>
          <w:tab w:val="left" w:pos="1845"/>
        </w:tabs>
        <w:rPr>
          <w:rFonts w:eastAsia="Times New Roman" w:cs="Arial"/>
          <w:b/>
          <w:lang w:val="es-ES_tradnl"/>
        </w:rPr>
      </w:pPr>
    </w:p>
    <w:p w14:paraId="43CC7F74" w14:textId="77777777" w:rsidR="00AD22D2" w:rsidRDefault="00AD22D2" w:rsidP="00914CD9">
      <w:pPr>
        <w:tabs>
          <w:tab w:val="left" w:pos="1845"/>
        </w:tabs>
        <w:rPr>
          <w:rFonts w:eastAsia="Times New Roman" w:cs="Arial"/>
          <w:b/>
          <w:lang w:val="es-ES_tradnl"/>
        </w:rPr>
      </w:pPr>
    </w:p>
    <w:p w14:paraId="680BDDEA" w14:textId="77777777" w:rsidR="00AD22D2" w:rsidRDefault="00AD22D2" w:rsidP="00914CD9">
      <w:pPr>
        <w:tabs>
          <w:tab w:val="left" w:pos="1845"/>
        </w:tabs>
        <w:rPr>
          <w:rFonts w:eastAsia="Times New Roman" w:cs="Arial"/>
          <w:b/>
          <w:lang w:val="es-ES_tradnl"/>
        </w:rPr>
      </w:pPr>
    </w:p>
    <w:p w14:paraId="63571751" w14:textId="01D51ED1" w:rsidR="009D5C43" w:rsidRPr="005F3DC2" w:rsidRDefault="009D5C43" w:rsidP="00914CD9">
      <w:pPr>
        <w:tabs>
          <w:tab w:val="left" w:pos="1845"/>
        </w:tabs>
        <w:rPr>
          <w:rFonts w:eastAsia="Times New Roman" w:cs="Arial"/>
          <w:b/>
          <w:lang w:val="es-ES_tradnl"/>
        </w:rPr>
      </w:pPr>
      <w:r w:rsidRPr="005F3DC2">
        <w:rPr>
          <w:rFonts w:eastAsia="Times New Roman" w:cs="Arial"/>
          <w:b/>
          <w:lang w:val="es-ES_tradnl"/>
        </w:rPr>
        <w:lastRenderedPageBreak/>
        <w:t>Figure 1: Estado de ingresos y gastos</w:t>
      </w:r>
    </w:p>
    <w:tbl>
      <w:tblPr>
        <w:tblW w:w="5000" w:type="pct"/>
        <w:tblLook w:val="04A0" w:firstRow="1" w:lastRow="0" w:firstColumn="1" w:lastColumn="0" w:noHBand="0" w:noVBand="1"/>
      </w:tblPr>
      <w:tblGrid>
        <w:gridCol w:w="3105"/>
        <w:gridCol w:w="1004"/>
        <w:gridCol w:w="881"/>
        <w:gridCol w:w="928"/>
        <w:gridCol w:w="852"/>
        <w:gridCol w:w="1071"/>
        <w:gridCol w:w="1017"/>
        <w:gridCol w:w="990"/>
        <w:gridCol w:w="478"/>
        <w:gridCol w:w="221"/>
        <w:gridCol w:w="1017"/>
        <w:gridCol w:w="990"/>
        <w:gridCol w:w="1008"/>
      </w:tblGrid>
      <w:tr w:rsidR="00AD66A6" w:rsidRPr="00793836" w14:paraId="61711552" w14:textId="77777777" w:rsidTr="00AD66A6">
        <w:trPr>
          <w:trHeight w:val="165"/>
        </w:trPr>
        <w:tc>
          <w:tcPr>
            <w:tcW w:w="1182" w:type="pct"/>
            <w:tcBorders>
              <w:top w:val="single" w:sz="8" w:space="0" w:color="auto"/>
              <w:left w:val="single" w:sz="8" w:space="0" w:color="auto"/>
              <w:bottom w:val="single" w:sz="8" w:space="0" w:color="auto"/>
              <w:right w:val="nil"/>
            </w:tcBorders>
            <w:shd w:val="clear" w:color="000000" w:fill="F2F2F2"/>
            <w:vAlign w:val="center"/>
            <w:hideMark/>
          </w:tcPr>
          <w:p w14:paraId="1BC2FACA" w14:textId="77777777" w:rsidR="00AD66A6" w:rsidRPr="00E2029F" w:rsidRDefault="00AD66A6" w:rsidP="0038698C">
            <w:pPr>
              <w:rPr>
                <w:rFonts w:eastAsia="Times New Roman" w:cs="Arial"/>
                <w:b/>
                <w:bCs/>
                <w:sz w:val="12"/>
                <w:szCs w:val="12"/>
                <w:lang w:val="es-ES_tradnl"/>
              </w:rPr>
            </w:pPr>
            <w:r w:rsidRPr="00E2029F">
              <w:rPr>
                <w:rFonts w:eastAsia="Times New Roman" w:cs="Arial"/>
                <w:b/>
                <w:bCs/>
                <w:sz w:val="12"/>
                <w:szCs w:val="12"/>
                <w:lang w:val="es-ES_tradnl"/>
              </w:rPr>
              <w:t xml:space="preserve">Número de la subvención </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BD414" w14:textId="77777777" w:rsidR="00AD66A6" w:rsidRPr="00793836" w:rsidRDefault="00AD66A6" w:rsidP="0038698C">
            <w:pPr>
              <w:jc w:val="center"/>
              <w:rPr>
                <w:rFonts w:eastAsia="Times New Roman" w:cs="Arial"/>
                <w:b/>
                <w:bCs/>
                <w:sz w:val="12"/>
                <w:szCs w:val="12"/>
              </w:rPr>
            </w:pPr>
            <w:r w:rsidRPr="00793836">
              <w:rPr>
                <w:rFonts w:eastAsia="Times New Roman" w:cs="Arial"/>
                <w:b/>
                <w:bCs/>
                <w:sz w:val="12"/>
                <w:szCs w:val="12"/>
              </w:rPr>
              <w:t>FIC-C-</w:t>
            </w:r>
            <w:r>
              <w:rPr>
                <w:rFonts w:eastAsia="Times New Roman" w:cs="Arial"/>
                <w:b/>
                <w:bCs/>
                <w:sz w:val="12"/>
                <w:szCs w:val="12"/>
              </w:rPr>
              <w:t>MS</w:t>
            </w:r>
          </w:p>
        </w:tc>
        <w:tc>
          <w:tcPr>
            <w:tcW w:w="329" w:type="pct"/>
            <w:tcBorders>
              <w:top w:val="nil"/>
              <w:left w:val="nil"/>
              <w:bottom w:val="nil"/>
              <w:right w:val="nil"/>
            </w:tcBorders>
            <w:shd w:val="clear" w:color="auto" w:fill="auto"/>
            <w:noWrap/>
            <w:vAlign w:val="bottom"/>
            <w:hideMark/>
          </w:tcPr>
          <w:p w14:paraId="20A3BBB0" w14:textId="77777777" w:rsidR="00AD66A6" w:rsidRPr="00793836" w:rsidRDefault="00AD66A6" w:rsidP="0038698C">
            <w:pPr>
              <w:jc w:val="center"/>
              <w:rPr>
                <w:rFonts w:eastAsia="Times New Roman" w:cs="Arial"/>
                <w:b/>
                <w:bCs/>
                <w:sz w:val="12"/>
                <w:szCs w:val="12"/>
              </w:rPr>
            </w:pPr>
          </w:p>
        </w:tc>
        <w:tc>
          <w:tcPr>
            <w:tcW w:w="337" w:type="pct"/>
            <w:tcBorders>
              <w:top w:val="nil"/>
              <w:left w:val="nil"/>
              <w:bottom w:val="nil"/>
              <w:right w:val="nil"/>
            </w:tcBorders>
            <w:shd w:val="clear" w:color="auto" w:fill="auto"/>
            <w:noWrap/>
            <w:vAlign w:val="bottom"/>
            <w:hideMark/>
          </w:tcPr>
          <w:p w14:paraId="44642029" w14:textId="77777777" w:rsidR="00AD66A6" w:rsidRPr="00793836" w:rsidRDefault="00AD66A6" w:rsidP="0038698C">
            <w:pPr>
              <w:jc w:val="right"/>
              <w:rPr>
                <w:rFonts w:eastAsia="Times New Roman" w:cs="Arial"/>
                <w:sz w:val="12"/>
                <w:szCs w:val="12"/>
              </w:rPr>
            </w:pPr>
          </w:p>
        </w:tc>
        <w:tc>
          <w:tcPr>
            <w:tcW w:w="309" w:type="pct"/>
            <w:tcBorders>
              <w:top w:val="nil"/>
              <w:left w:val="nil"/>
              <w:bottom w:val="nil"/>
              <w:right w:val="nil"/>
            </w:tcBorders>
            <w:shd w:val="clear" w:color="auto" w:fill="auto"/>
            <w:noWrap/>
            <w:vAlign w:val="bottom"/>
            <w:hideMark/>
          </w:tcPr>
          <w:p w14:paraId="50329AD6" w14:textId="77777777" w:rsidR="00AD66A6" w:rsidRPr="00793836" w:rsidRDefault="00AD66A6" w:rsidP="0038698C">
            <w:pPr>
              <w:jc w:val="right"/>
              <w:rPr>
                <w:rFonts w:eastAsia="Times New Roman" w:cs="Arial"/>
                <w:sz w:val="12"/>
                <w:szCs w:val="12"/>
              </w:rPr>
            </w:pPr>
          </w:p>
        </w:tc>
        <w:tc>
          <w:tcPr>
            <w:tcW w:w="388" w:type="pct"/>
            <w:tcBorders>
              <w:top w:val="nil"/>
              <w:left w:val="nil"/>
              <w:bottom w:val="nil"/>
              <w:right w:val="nil"/>
            </w:tcBorders>
            <w:shd w:val="clear" w:color="auto" w:fill="auto"/>
            <w:noWrap/>
            <w:vAlign w:val="bottom"/>
            <w:hideMark/>
          </w:tcPr>
          <w:p w14:paraId="406AEAB2" w14:textId="77777777" w:rsidR="00AD66A6" w:rsidRPr="00793836" w:rsidRDefault="00AD66A6" w:rsidP="0038698C">
            <w:pPr>
              <w:jc w:val="right"/>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60BA782B"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6CA0EABA"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hideMark/>
          </w:tcPr>
          <w:p w14:paraId="7459CAFE"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hideMark/>
          </w:tcPr>
          <w:p w14:paraId="33CD61FE"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69352084"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362D6097"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hideMark/>
          </w:tcPr>
          <w:p w14:paraId="05DF4545" w14:textId="77777777" w:rsidR="00AD66A6" w:rsidRPr="00793836" w:rsidRDefault="00AD66A6" w:rsidP="0038698C">
            <w:pPr>
              <w:rPr>
                <w:rFonts w:eastAsia="Times New Roman" w:cs="Arial"/>
                <w:sz w:val="12"/>
                <w:szCs w:val="12"/>
              </w:rPr>
            </w:pPr>
          </w:p>
        </w:tc>
      </w:tr>
      <w:tr w:rsidR="00AD66A6" w:rsidRPr="00793836" w14:paraId="317464BC" w14:textId="77777777" w:rsidTr="00AD66A6">
        <w:trPr>
          <w:trHeight w:val="165"/>
        </w:trPr>
        <w:tc>
          <w:tcPr>
            <w:tcW w:w="1182" w:type="pct"/>
            <w:tcBorders>
              <w:top w:val="single" w:sz="8" w:space="0" w:color="auto"/>
              <w:left w:val="single" w:sz="8" w:space="0" w:color="auto"/>
              <w:bottom w:val="single" w:sz="8" w:space="0" w:color="auto"/>
              <w:right w:val="nil"/>
            </w:tcBorders>
            <w:shd w:val="clear" w:color="000000" w:fill="F2F2F2"/>
            <w:vAlign w:val="center"/>
          </w:tcPr>
          <w:p w14:paraId="4A4BDFE7" w14:textId="77777777" w:rsidR="00AD66A6" w:rsidRPr="00E2029F" w:rsidRDefault="00AD66A6" w:rsidP="0038698C">
            <w:pPr>
              <w:rPr>
                <w:rFonts w:eastAsia="Times New Roman" w:cs="Arial"/>
                <w:b/>
                <w:bCs/>
                <w:sz w:val="12"/>
                <w:szCs w:val="12"/>
                <w:lang w:val="es-ES_tradnl"/>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BD97716" w14:textId="77777777" w:rsidR="00AD66A6" w:rsidRPr="00793836" w:rsidRDefault="00AD66A6" w:rsidP="0038698C">
            <w:pPr>
              <w:jc w:val="center"/>
              <w:rPr>
                <w:rFonts w:eastAsia="Times New Roman" w:cs="Arial"/>
                <w:b/>
                <w:bCs/>
                <w:sz w:val="12"/>
                <w:szCs w:val="12"/>
              </w:rPr>
            </w:pPr>
          </w:p>
        </w:tc>
        <w:tc>
          <w:tcPr>
            <w:tcW w:w="329" w:type="pct"/>
            <w:tcBorders>
              <w:top w:val="nil"/>
              <w:left w:val="nil"/>
              <w:bottom w:val="nil"/>
              <w:right w:val="nil"/>
            </w:tcBorders>
            <w:shd w:val="clear" w:color="auto" w:fill="auto"/>
            <w:noWrap/>
            <w:vAlign w:val="bottom"/>
          </w:tcPr>
          <w:p w14:paraId="40BA5C7C" w14:textId="77777777" w:rsidR="00AD66A6" w:rsidRPr="00793836" w:rsidRDefault="00AD66A6" w:rsidP="0038698C">
            <w:pPr>
              <w:jc w:val="center"/>
              <w:rPr>
                <w:rFonts w:eastAsia="Times New Roman" w:cs="Arial"/>
                <w:b/>
                <w:bCs/>
                <w:sz w:val="12"/>
                <w:szCs w:val="12"/>
              </w:rPr>
            </w:pPr>
          </w:p>
        </w:tc>
        <w:tc>
          <w:tcPr>
            <w:tcW w:w="337" w:type="pct"/>
            <w:tcBorders>
              <w:top w:val="nil"/>
              <w:left w:val="nil"/>
              <w:bottom w:val="nil"/>
              <w:right w:val="nil"/>
            </w:tcBorders>
            <w:shd w:val="clear" w:color="auto" w:fill="auto"/>
            <w:noWrap/>
            <w:vAlign w:val="bottom"/>
          </w:tcPr>
          <w:p w14:paraId="487AE48D" w14:textId="77777777" w:rsidR="00AD66A6" w:rsidRPr="00793836" w:rsidRDefault="00AD66A6" w:rsidP="0038698C">
            <w:pPr>
              <w:jc w:val="right"/>
              <w:rPr>
                <w:rFonts w:eastAsia="Times New Roman" w:cs="Arial"/>
                <w:sz w:val="12"/>
                <w:szCs w:val="12"/>
              </w:rPr>
            </w:pPr>
          </w:p>
        </w:tc>
        <w:tc>
          <w:tcPr>
            <w:tcW w:w="309" w:type="pct"/>
            <w:tcBorders>
              <w:top w:val="nil"/>
              <w:left w:val="nil"/>
              <w:bottom w:val="nil"/>
              <w:right w:val="nil"/>
            </w:tcBorders>
            <w:shd w:val="clear" w:color="auto" w:fill="auto"/>
            <w:noWrap/>
            <w:vAlign w:val="bottom"/>
          </w:tcPr>
          <w:p w14:paraId="2D9ED775" w14:textId="77777777" w:rsidR="00AD66A6" w:rsidRPr="00793836" w:rsidRDefault="00AD66A6" w:rsidP="0038698C">
            <w:pPr>
              <w:jc w:val="right"/>
              <w:rPr>
                <w:rFonts w:eastAsia="Times New Roman" w:cs="Arial"/>
                <w:sz w:val="12"/>
                <w:szCs w:val="12"/>
              </w:rPr>
            </w:pPr>
          </w:p>
        </w:tc>
        <w:tc>
          <w:tcPr>
            <w:tcW w:w="388" w:type="pct"/>
            <w:tcBorders>
              <w:top w:val="nil"/>
              <w:left w:val="nil"/>
              <w:bottom w:val="nil"/>
              <w:right w:val="nil"/>
            </w:tcBorders>
            <w:shd w:val="clear" w:color="auto" w:fill="auto"/>
            <w:noWrap/>
            <w:vAlign w:val="bottom"/>
          </w:tcPr>
          <w:p w14:paraId="41BC5C00" w14:textId="77777777" w:rsidR="00AD66A6" w:rsidRPr="00793836" w:rsidRDefault="00AD66A6" w:rsidP="0038698C">
            <w:pPr>
              <w:jc w:val="right"/>
              <w:rPr>
                <w:rFonts w:eastAsia="Times New Roman" w:cs="Arial"/>
                <w:sz w:val="12"/>
                <w:szCs w:val="12"/>
              </w:rPr>
            </w:pPr>
          </w:p>
        </w:tc>
        <w:tc>
          <w:tcPr>
            <w:tcW w:w="369" w:type="pct"/>
            <w:tcBorders>
              <w:top w:val="nil"/>
              <w:left w:val="nil"/>
              <w:bottom w:val="nil"/>
              <w:right w:val="nil"/>
            </w:tcBorders>
            <w:shd w:val="clear" w:color="auto" w:fill="auto"/>
            <w:noWrap/>
            <w:vAlign w:val="bottom"/>
          </w:tcPr>
          <w:p w14:paraId="72224430"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tcPr>
          <w:p w14:paraId="279EDDA0"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tcPr>
          <w:p w14:paraId="14A90417"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tcPr>
          <w:p w14:paraId="330EAC57"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tcPr>
          <w:p w14:paraId="54F6521B"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tcPr>
          <w:p w14:paraId="08B8C11C"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tcPr>
          <w:p w14:paraId="32D506D8" w14:textId="77777777" w:rsidR="00AD66A6" w:rsidRPr="00793836" w:rsidRDefault="00AD66A6" w:rsidP="0038698C">
            <w:pPr>
              <w:rPr>
                <w:rFonts w:eastAsia="Times New Roman" w:cs="Arial"/>
                <w:sz w:val="12"/>
                <w:szCs w:val="12"/>
              </w:rPr>
            </w:pPr>
          </w:p>
        </w:tc>
      </w:tr>
      <w:tr w:rsidR="00AD66A6" w:rsidRPr="00793836" w14:paraId="0F6DDB4D" w14:textId="77777777" w:rsidTr="00AD66A6">
        <w:trPr>
          <w:trHeight w:val="84"/>
        </w:trPr>
        <w:tc>
          <w:tcPr>
            <w:tcW w:w="1182" w:type="pct"/>
            <w:tcBorders>
              <w:top w:val="nil"/>
              <w:left w:val="single" w:sz="8" w:space="0" w:color="auto"/>
              <w:bottom w:val="nil"/>
              <w:right w:val="nil"/>
            </w:tcBorders>
            <w:shd w:val="clear" w:color="000000" w:fill="F2F2F2"/>
            <w:vAlign w:val="center"/>
            <w:hideMark/>
          </w:tcPr>
          <w:p w14:paraId="59495916" w14:textId="77777777" w:rsidR="00AD66A6" w:rsidRPr="00E2029F" w:rsidRDefault="00AD66A6" w:rsidP="0038698C">
            <w:pPr>
              <w:rPr>
                <w:rFonts w:eastAsia="Times New Roman" w:cs="Arial"/>
                <w:b/>
                <w:bCs/>
                <w:sz w:val="12"/>
                <w:szCs w:val="12"/>
                <w:lang w:val="es-ES_tradnl"/>
              </w:rPr>
            </w:pPr>
            <w:r w:rsidRPr="00E2029F">
              <w:rPr>
                <w:rFonts w:eastAsia="Times New Roman" w:cs="Arial"/>
                <w:b/>
                <w:bCs/>
                <w:sz w:val="12"/>
                <w:szCs w:val="12"/>
                <w:lang w:val="es-ES_tradnl"/>
              </w:rPr>
              <w:t>Metodología contable</w:t>
            </w:r>
          </w:p>
        </w:tc>
        <w:tc>
          <w:tcPr>
            <w:tcW w:w="376" w:type="pct"/>
            <w:tcBorders>
              <w:top w:val="nil"/>
              <w:left w:val="single" w:sz="4" w:space="0" w:color="4472C4"/>
              <w:bottom w:val="single" w:sz="8" w:space="0" w:color="auto"/>
              <w:right w:val="single" w:sz="4" w:space="0" w:color="auto"/>
            </w:tcBorders>
            <w:shd w:val="clear" w:color="000000" w:fill="D9D9D9"/>
            <w:noWrap/>
            <w:vAlign w:val="center"/>
            <w:hideMark/>
          </w:tcPr>
          <w:p w14:paraId="6DEB8432" w14:textId="77777777" w:rsidR="00AD66A6" w:rsidRPr="00E2029F" w:rsidRDefault="00AD66A6" w:rsidP="0038698C">
            <w:pPr>
              <w:jc w:val="center"/>
              <w:rPr>
                <w:rFonts w:eastAsia="Times New Roman" w:cs="Arial"/>
                <w:b/>
                <w:bCs/>
                <w:sz w:val="12"/>
                <w:szCs w:val="12"/>
                <w:lang w:val="es-ES_tradnl"/>
              </w:rPr>
            </w:pPr>
            <w:r w:rsidRPr="00E2029F">
              <w:rPr>
                <w:rFonts w:eastAsia="Times New Roman" w:cs="Arial"/>
                <w:b/>
                <w:bCs/>
                <w:sz w:val="12"/>
                <w:szCs w:val="12"/>
                <w:lang w:val="es-ES_tradnl"/>
              </w:rPr>
              <w:t>Efectivo</w:t>
            </w:r>
          </w:p>
        </w:tc>
        <w:tc>
          <w:tcPr>
            <w:tcW w:w="329" w:type="pct"/>
            <w:tcBorders>
              <w:top w:val="nil"/>
              <w:left w:val="nil"/>
              <w:bottom w:val="nil"/>
              <w:right w:val="nil"/>
            </w:tcBorders>
            <w:shd w:val="clear" w:color="auto" w:fill="auto"/>
            <w:noWrap/>
            <w:vAlign w:val="bottom"/>
            <w:hideMark/>
          </w:tcPr>
          <w:p w14:paraId="7F3B5EE2"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37" w:type="pct"/>
            <w:tcBorders>
              <w:top w:val="nil"/>
              <w:left w:val="nil"/>
              <w:bottom w:val="nil"/>
              <w:right w:val="nil"/>
            </w:tcBorders>
            <w:shd w:val="clear" w:color="auto" w:fill="auto"/>
            <w:noWrap/>
            <w:vAlign w:val="bottom"/>
            <w:hideMark/>
          </w:tcPr>
          <w:p w14:paraId="23B3F386" w14:textId="77777777" w:rsidR="00AD66A6" w:rsidRPr="00793836" w:rsidRDefault="00AD66A6" w:rsidP="0038698C">
            <w:pPr>
              <w:rPr>
                <w:rFonts w:eastAsia="Times New Roman" w:cs="Arial"/>
                <w:color w:val="000000"/>
                <w:sz w:val="12"/>
                <w:szCs w:val="12"/>
              </w:rPr>
            </w:pPr>
          </w:p>
        </w:tc>
        <w:tc>
          <w:tcPr>
            <w:tcW w:w="309" w:type="pct"/>
            <w:tcBorders>
              <w:top w:val="nil"/>
              <w:left w:val="nil"/>
              <w:bottom w:val="nil"/>
              <w:right w:val="nil"/>
            </w:tcBorders>
            <w:shd w:val="clear" w:color="auto" w:fill="auto"/>
            <w:noWrap/>
            <w:vAlign w:val="bottom"/>
            <w:hideMark/>
          </w:tcPr>
          <w:p w14:paraId="4992130D" w14:textId="77777777" w:rsidR="00AD66A6" w:rsidRPr="00793836" w:rsidRDefault="00AD66A6" w:rsidP="0038698C">
            <w:pPr>
              <w:rPr>
                <w:rFonts w:eastAsia="Times New Roman" w:cs="Arial"/>
                <w:sz w:val="12"/>
                <w:szCs w:val="12"/>
              </w:rPr>
            </w:pPr>
          </w:p>
        </w:tc>
        <w:tc>
          <w:tcPr>
            <w:tcW w:w="388" w:type="pct"/>
            <w:tcBorders>
              <w:top w:val="nil"/>
              <w:left w:val="nil"/>
              <w:bottom w:val="nil"/>
              <w:right w:val="nil"/>
            </w:tcBorders>
            <w:shd w:val="clear" w:color="auto" w:fill="auto"/>
            <w:noWrap/>
            <w:vAlign w:val="bottom"/>
            <w:hideMark/>
          </w:tcPr>
          <w:p w14:paraId="03F1BC7B"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6BD87D98"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6B5711EC"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hideMark/>
          </w:tcPr>
          <w:p w14:paraId="0657858C"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hideMark/>
          </w:tcPr>
          <w:p w14:paraId="66AAF43E"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4768EB0E"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1F0E4D95"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hideMark/>
          </w:tcPr>
          <w:p w14:paraId="02C30A46" w14:textId="77777777" w:rsidR="00AD66A6" w:rsidRPr="00793836" w:rsidRDefault="00AD66A6" w:rsidP="0038698C">
            <w:pPr>
              <w:rPr>
                <w:rFonts w:eastAsia="Times New Roman" w:cs="Arial"/>
                <w:sz w:val="12"/>
                <w:szCs w:val="12"/>
              </w:rPr>
            </w:pPr>
          </w:p>
        </w:tc>
      </w:tr>
      <w:tr w:rsidR="00AD66A6" w:rsidRPr="00793836" w14:paraId="3978539F" w14:textId="77777777" w:rsidTr="00AD66A6">
        <w:trPr>
          <w:trHeight w:val="75"/>
        </w:trPr>
        <w:tc>
          <w:tcPr>
            <w:tcW w:w="118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482D17A" w14:textId="77777777" w:rsidR="00AD66A6" w:rsidRPr="00E2029F" w:rsidRDefault="00AD66A6" w:rsidP="0038698C">
            <w:pPr>
              <w:rPr>
                <w:rFonts w:eastAsia="Times New Roman" w:cs="Arial"/>
                <w:b/>
                <w:bCs/>
                <w:sz w:val="12"/>
                <w:szCs w:val="12"/>
                <w:lang w:val="es-ES_tradnl"/>
              </w:rPr>
            </w:pPr>
            <w:r w:rsidRPr="00E2029F">
              <w:rPr>
                <w:rFonts w:eastAsia="Times New Roman" w:cs="Arial"/>
                <w:b/>
                <w:bCs/>
                <w:sz w:val="12"/>
                <w:szCs w:val="12"/>
                <w:lang w:val="es-ES_tradnl"/>
              </w:rPr>
              <w:t xml:space="preserve">Moneda de la subvención </w:t>
            </w:r>
          </w:p>
        </w:tc>
        <w:tc>
          <w:tcPr>
            <w:tcW w:w="376" w:type="pct"/>
            <w:tcBorders>
              <w:top w:val="single" w:sz="4" w:space="0" w:color="auto"/>
              <w:left w:val="nil"/>
              <w:bottom w:val="nil"/>
              <w:right w:val="single" w:sz="4" w:space="0" w:color="auto"/>
            </w:tcBorders>
            <w:shd w:val="clear" w:color="000000" w:fill="FFFFFF"/>
            <w:noWrap/>
            <w:vAlign w:val="center"/>
            <w:hideMark/>
          </w:tcPr>
          <w:p w14:paraId="29AAD7CA" w14:textId="77777777" w:rsidR="00AD66A6" w:rsidRPr="00793836" w:rsidRDefault="00AD66A6" w:rsidP="0038698C">
            <w:pPr>
              <w:jc w:val="right"/>
              <w:rPr>
                <w:rFonts w:eastAsia="Times New Roman" w:cs="Arial"/>
                <w:b/>
                <w:bCs/>
                <w:sz w:val="12"/>
                <w:szCs w:val="12"/>
              </w:rPr>
            </w:pPr>
            <w:r w:rsidRPr="00793836">
              <w:rPr>
                <w:rFonts w:eastAsia="Times New Roman" w:cs="Arial"/>
                <w:b/>
                <w:bCs/>
                <w:sz w:val="12"/>
                <w:szCs w:val="12"/>
              </w:rPr>
              <w:t> </w:t>
            </w:r>
          </w:p>
        </w:tc>
        <w:tc>
          <w:tcPr>
            <w:tcW w:w="329" w:type="pct"/>
            <w:tcBorders>
              <w:top w:val="nil"/>
              <w:left w:val="nil"/>
              <w:bottom w:val="nil"/>
              <w:right w:val="nil"/>
            </w:tcBorders>
            <w:shd w:val="clear" w:color="auto" w:fill="auto"/>
            <w:noWrap/>
            <w:vAlign w:val="bottom"/>
            <w:hideMark/>
          </w:tcPr>
          <w:p w14:paraId="1A252924" w14:textId="77777777" w:rsidR="00AD66A6" w:rsidRPr="00793836" w:rsidRDefault="00AD66A6" w:rsidP="0038698C">
            <w:pPr>
              <w:jc w:val="right"/>
              <w:rPr>
                <w:rFonts w:eastAsia="Times New Roman" w:cs="Arial"/>
                <w:b/>
                <w:bCs/>
                <w:sz w:val="12"/>
                <w:szCs w:val="12"/>
              </w:rPr>
            </w:pPr>
          </w:p>
        </w:tc>
        <w:tc>
          <w:tcPr>
            <w:tcW w:w="337" w:type="pct"/>
            <w:tcBorders>
              <w:top w:val="nil"/>
              <w:left w:val="nil"/>
              <w:bottom w:val="nil"/>
              <w:right w:val="nil"/>
            </w:tcBorders>
            <w:shd w:val="clear" w:color="auto" w:fill="auto"/>
            <w:noWrap/>
            <w:vAlign w:val="bottom"/>
            <w:hideMark/>
          </w:tcPr>
          <w:p w14:paraId="1EA80BDE" w14:textId="77777777" w:rsidR="00AD66A6" w:rsidRPr="00793836" w:rsidRDefault="00AD66A6" w:rsidP="0038698C">
            <w:pPr>
              <w:jc w:val="right"/>
              <w:rPr>
                <w:rFonts w:eastAsia="Times New Roman" w:cs="Arial"/>
                <w:sz w:val="12"/>
                <w:szCs w:val="12"/>
              </w:rPr>
            </w:pPr>
          </w:p>
        </w:tc>
        <w:tc>
          <w:tcPr>
            <w:tcW w:w="309" w:type="pct"/>
            <w:tcBorders>
              <w:top w:val="nil"/>
              <w:left w:val="nil"/>
              <w:bottom w:val="nil"/>
              <w:right w:val="nil"/>
            </w:tcBorders>
            <w:shd w:val="clear" w:color="auto" w:fill="auto"/>
            <w:noWrap/>
            <w:vAlign w:val="bottom"/>
            <w:hideMark/>
          </w:tcPr>
          <w:p w14:paraId="2FDC098F" w14:textId="77777777" w:rsidR="00AD66A6" w:rsidRPr="00793836" w:rsidRDefault="00AD66A6" w:rsidP="0038698C">
            <w:pPr>
              <w:jc w:val="right"/>
              <w:rPr>
                <w:rFonts w:eastAsia="Times New Roman" w:cs="Arial"/>
                <w:sz w:val="12"/>
                <w:szCs w:val="12"/>
              </w:rPr>
            </w:pPr>
          </w:p>
        </w:tc>
        <w:tc>
          <w:tcPr>
            <w:tcW w:w="388" w:type="pct"/>
            <w:tcBorders>
              <w:top w:val="nil"/>
              <w:left w:val="nil"/>
              <w:bottom w:val="nil"/>
              <w:right w:val="nil"/>
            </w:tcBorders>
            <w:shd w:val="clear" w:color="auto" w:fill="auto"/>
            <w:noWrap/>
            <w:vAlign w:val="bottom"/>
            <w:hideMark/>
          </w:tcPr>
          <w:p w14:paraId="2767787C" w14:textId="77777777" w:rsidR="00AD66A6" w:rsidRPr="00793836" w:rsidRDefault="00AD66A6" w:rsidP="0038698C">
            <w:pPr>
              <w:jc w:val="right"/>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4785F61A"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793F211A"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hideMark/>
          </w:tcPr>
          <w:p w14:paraId="05E5E49A"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hideMark/>
          </w:tcPr>
          <w:p w14:paraId="5F7F88B0"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3AABB03D"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6794E801"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hideMark/>
          </w:tcPr>
          <w:p w14:paraId="56955204" w14:textId="77777777" w:rsidR="00AD66A6" w:rsidRPr="00793836" w:rsidRDefault="00AD66A6" w:rsidP="0038698C">
            <w:pPr>
              <w:rPr>
                <w:rFonts w:eastAsia="Times New Roman" w:cs="Arial"/>
                <w:sz w:val="12"/>
                <w:szCs w:val="12"/>
              </w:rPr>
            </w:pPr>
          </w:p>
        </w:tc>
      </w:tr>
      <w:tr w:rsidR="00AD66A6" w:rsidRPr="009842F5" w14:paraId="611DCAF5" w14:textId="77777777" w:rsidTr="00AD66A6">
        <w:trPr>
          <w:trHeight w:val="94"/>
        </w:trPr>
        <w:tc>
          <w:tcPr>
            <w:tcW w:w="1182" w:type="pct"/>
            <w:tcBorders>
              <w:top w:val="nil"/>
              <w:left w:val="single" w:sz="4" w:space="0" w:color="auto"/>
              <w:bottom w:val="single" w:sz="4" w:space="0" w:color="auto"/>
              <w:right w:val="single" w:sz="4" w:space="0" w:color="auto"/>
            </w:tcBorders>
            <w:shd w:val="clear" w:color="000000" w:fill="F2F2F2"/>
            <w:vAlign w:val="center"/>
            <w:hideMark/>
          </w:tcPr>
          <w:p w14:paraId="582CD161" w14:textId="77777777" w:rsidR="00AD66A6" w:rsidRPr="00E2029F" w:rsidRDefault="00AD66A6" w:rsidP="0038698C">
            <w:pPr>
              <w:rPr>
                <w:rFonts w:eastAsia="Times New Roman" w:cs="Arial"/>
                <w:b/>
                <w:bCs/>
                <w:sz w:val="12"/>
                <w:szCs w:val="12"/>
                <w:lang w:val="es-ES_tradnl"/>
              </w:rPr>
            </w:pPr>
            <w:r w:rsidRPr="00E2029F">
              <w:rPr>
                <w:rFonts w:eastAsia="Times New Roman" w:cs="Arial"/>
                <w:b/>
                <w:bCs/>
                <w:sz w:val="12"/>
                <w:szCs w:val="12"/>
                <w:lang w:val="es-ES_tradnl"/>
              </w:rPr>
              <w:t>Fecha de inicio del período de ejecución</w:t>
            </w:r>
          </w:p>
        </w:tc>
        <w:tc>
          <w:tcPr>
            <w:tcW w:w="376" w:type="pct"/>
            <w:tcBorders>
              <w:top w:val="single" w:sz="4" w:space="0" w:color="auto"/>
              <w:left w:val="nil"/>
              <w:bottom w:val="single" w:sz="4" w:space="0" w:color="auto"/>
              <w:right w:val="single" w:sz="4" w:space="0" w:color="auto"/>
            </w:tcBorders>
            <w:shd w:val="clear" w:color="000000" w:fill="FFFFFF"/>
            <w:noWrap/>
            <w:vAlign w:val="center"/>
            <w:hideMark/>
          </w:tcPr>
          <w:p w14:paraId="4A694F2E" w14:textId="77777777" w:rsidR="00AD66A6" w:rsidRPr="00325F25" w:rsidRDefault="00AD66A6" w:rsidP="0038698C">
            <w:pPr>
              <w:jc w:val="right"/>
              <w:rPr>
                <w:rFonts w:eastAsia="Times New Roman" w:cs="Arial"/>
                <w:b/>
                <w:bCs/>
                <w:sz w:val="12"/>
                <w:szCs w:val="12"/>
                <w:lang w:val="es-ES_tradnl"/>
              </w:rPr>
            </w:pPr>
            <w:r w:rsidRPr="00325F25">
              <w:rPr>
                <w:rFonts w:eastAsia="Times New Roman" w:cs="Arial"/>
                <w:b/>
                <w:bCs/>
                <w:sz w:val="12"/>
                <w:szCs w:val="12"/>
                <w:lang w:val="es-ES_tradnl"/>
              </w:rPr>
              <w:t> </w:t>
            </w:r>
          </w:p>
        </w:tc>
        <w:tc>
          <w:tcPr>
            <w:tcW w:w="329" w:type="pct"/>
            <w:tcBorders>
              <w:top w:val="nil"/>
              <w:left w:val="nil"/>
              <w:bottom w:val="nil"/>
              <w:right w:val="nil"/>
            </w:tcBorders>
            <w:shd w:val="clear" w:color="auto" w:fill="auto"/>
            <w:noWrap/>
            <w:vAlign w:val="bottom"/>
            <w:hideMark/>
          </w:tcPr>
          <w:p w14:paraId="450F627D" w14:textId="77777777" w:rsidR="00AD66A6" w:rsidRPr="00325F25" w:rsidRDefault="00AD66A6" w:rsidP="0038698C">
            <w:pPr>
              <w:jc w:val="right"/>
              <w:rPr>
                <w:rFonts w:eastAsia="Times New Roman" w:cs="Arial"/>
                <w:b/>
                <w:bCs/>
                <w:sz w:val="12"/>
                <w:szCs w:val="12"/>
                <w:lang w:val="es-ES_tradnl"/>
              </w:rPr>
            </w:pPr>
          </w:p>
        </w:tc>
        <w:tc>
          <w:tcPr>
            <w:tcW w:w="337" w:type="pct"/>
            <w:tcBorders>
              <w:top w:val="nil"/>
              <w:left w:val="nil"/>
              <w:bottom w:val="nil"/>
              <w:right w:val="nil"/>
            </w:tcBorders>
            <w:shd w:val="clear" w:color="auto" w:fill="auto"/>
            <w:noWrap/>
            <w:vAlign w:val="bottom"/>
            <w:hideMark/>
          </w:tcPr>
          <w:p w14:paraId="7A4239E3" w14:textId="77777777" w:rsidR="00AD66A6" w:rsidRPr="00325F25" w:rsidRDefault="00AD66A6" w:rsidP="0038698C">
            <w:pPr>
              <w:jc w:val="right"/>
              <w:rPr>
                <w:rFonts w:eastAsia="Times New Roman" w:cs="Arial"/>
                <w:sz w:val="12"/>
                <w:szCs w:val="12"/>
                <w:lang w:val="es-ES_tradnl"/>
              </w:rPr>
            </w:pPr>
          </w:p>
        </w:tc>
        <w:tc>
          <w:tcPr>
            <w:tcW w:w="309" w:type="pct"/>
            <w:tcBorders>
              <w:top w:val="nil"/>
              <w:left w:val="nil"/>
              <w:bottom w:val="nil"/>
              <w:right w:val="nil"/>
            </w:tcBorders>
            <w:shd w:val="clear" w:color="auto" w:fill="auto"/>
            <w:noWrap/>
            <w:vAlign w:val="bottom"/>
            <w:hideMark/>
          </w:tcPr>
          <w:p w14:paraId="59B3A98E" w14:textId="77777777" w:rsidR="00AD66A6" w:rsidRPr="00325F25" w:rsidRDefault="00AD66A6" w:rsidP="0038698C">
            <w:pPr>
              <w:jc w:val="right"/>
              <w:rPr>
                <w:rFonts w:eastAsia="Times New Roman" w:cs="Arial"/>
                <w:sz w:val="12"/>
                <w:szCs w:val="12"/>
                <w:lang w:val="es-ES_tradnl"/>
              </w:rPr>
            </w:pPr>
          </w:p>
        </w:tc>
        <w:tc>
          <w:tcPr>
            <w:tcW w:w="388" w:type="pct"/>
            <w:tcBorders>
              <w:top w:val="nil"/>
              <w:left w:val="nil"/>
              <w:bottom w:val="nil"/>
              <w:right w:val="nil"/>
            </w:tcBorders>
            <w:shd w:val="clear" w:color="auto" w:fill="auto"/>
            <w:noWrap/>
            <w:vAlign w:val="bottom"/>
            <w:hideMark/>
          </w:tcPr>
          <w:p w14:paraId="5C7CA299" w14:textId="77777777" w:rsidR="00AD66A6" w:rsidRPr="00325F25" w:rsidRDefault="00AD66A6" w:rsidP="0038698C">
            <w:pPr>
              <w:jc w:val="right"/>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3476A4A5"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46971858" w14:textId="77777777" w:rsidR="00AD66A6" w:rsidRPr="00325F25" w:rsidRDefault="00AD66A6" w:rsidP="0038698C">
            <w:pPr>
              <w:rPr>
                <w:rFonts w:eastAsia="Times New Roman" w:cs="Arial"/>
                <w:sz w:val="12"/>
                <w:szCs w:val="12"/>
                <w:lang w:val="es-ES_tradnl"/>
              </w:rPr>
            </w:pPr>
          </w:p>
        </w:tc>
        <w:tc>
          <w:tcPr>
            <w:tcW w:w="174" w:type="pct"/>
            <w:tcBorders>
              <w:top w:val="nil"/>
              <w:left w:val="nil"/>
              <w:bottom w:val="nil"/>
              <w:right w:val="nil"/>
            </w:tcBorders>
            <w:shd w:val="clear" w:color="auto" w:fill="auto"/>
            <w:noWrap/>
            <w:vAlign w:val="bottom"/>
            <w:hideMark/>
          </w:tcPr>
          <w:p w14:paraId="2D8DCFF8" w14:textId="77777777" w:rsidR="00AD66A6" w:rsidRPr="00325F25" w:rsidRDefault="00AD66A6" w:rsidP="0038698C">
            <w:pPr>
              <w:rPr>
                <w:rFonts w:eastAsia="Times New Roman" w:cs="Arial"/>
                <w:sz w:val="12"/>
                <w:szCs w:val="12"/>
                <w:lang w:val="es-ES_tradnl"/>
              </w:rPr>
            </w:pPr>
          </w:p>
        </w:tc>
        <w:tc>
          <w:tcPr>
            <w:tcW w:w="81" w:type="pct"/>
            <w:tcBorders>
              <w:top w:val="nil"/>
              <w:left w:val="nil"/>
              <w:bottom w:val="nil"/>
              <w:right w:val="nil"/>
            </w:tcBorders>
            <w:shd w:val="clear" w:color="auto" w:fill="auto"/>
            <w:noWrap/>
            <w:vAlign w:val="bottom"/>
            <w:hideMark/>
          </w:tcPr>
          <w:p w14:paraId="34703B6E" w14:textId="77777777" w:rsidR="00AD66A6" w:rsidRPr="00325F25" w:rsidRDefault="00AD66A6" w:rsidP="0038698C">
            <w:pPr>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50A4B8BC"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5A4FF2F7" w14:textId="77777777" w:rsidR="00AD66A6" w:rsidRPr="00325F25" w:rsidRDefault="00AD66A6" w:rsidP="0038698C">
            <w:pPr>
              <w:rPr>
                <w:rFonts w:eastAsia="Times New Roman" w:cs="Arial"/>
                <w:sz w:val="12"/>
                <w:szCs w:val="12"/>
                <w:lang w:val="es-ES_tradnl"/>
              </w:rPr>
            </w:pPr>
          </w:p>
        </w:tc>
        <w:tc>
          <w:tcPr>
            <w:tcW w:w="366" w:type="pct"/>
            <w:tcBorders>
              <w:top w:val="nil"/>
              <w:left w:val="nil"/>
              <w:bottom w:val="nil"/>
              <w:right w:val="nil"/>
            </w:tcBorders>
            <w:shd w:val="clear" w:color="auto" w:fill="auto"/>
            <w:noWrap/>
            <w:vAlign w:val="bottom"/>
            <w:hideMark/>
          </w:tcPr>
          <w:p w14:paraId="4828D26F" w14:textId="77777777" w:rsidR="00AD66A6" w:rsidRPr="00325F25" w:rsidRDefault="00AD66A6" w:rsidP="0038698C">
            <w:pPr>
              <w:rPr>
                <w:rFonts w:eastAsia="Times New Roman" w:cs="Arial"/>
                <w:sz w:val="12"/>
                <w:szCs w:val="12"/>
                <w:lang w:val="es-ES_tradnl"/>
              </w:rPr>
            </w:pPr>
          </w:p>
        </w:tc>
      </w:tr>
      <w:tr w:rsidR="00AD66A6" w:rsidRPr="009842F5" w14:paraId="0B429001" w14:textId="77777777" w:rsidTr="00AD66A6">
        <w:trPr>
          <w:trHeight w:val="121"/>
        </w:trPr>
        <w:tc>
          <w:tcPr>
            <w:tcW w:w="1182" w:type="pct"/>
            <w:tcBorders>
              <w:top w:val="nil"/>
              <w:left w:val="single" w:sz="4" w:space="0" w:color="auto"/>
              <w:bottom w:val="single" w:sz="4" w:space="0" w:color="auto"/>
              <w:right w:val="single" w:sz="4" w:space="0" w:color="auto"/>
            </w:tcBorders>
            <w:shd w:val="clear" w:color="000000" w:fill="F2F2F2"/>
            <w:vAlign w:val="center"/>
            <w:hideMark/>
          </w:tcPr>
          <w:p w14:paraId="4F0002A7" w14:textId="77777777" w:rsidR="00AD66A6" w:rsidRPr="00E2029F" w:rsidRDefault="00AD66A6" w:rsidP="0038698C">
            <w:pPr>
              <w:rPr>
                <w:rFonts w:eastAsia="Times New Roman" w:cs="Arial"/>
                <w:b/>
                <w:bCs/>
                <w:sz w:val="12"/>
                <w:szCs w:val="12"/>
                <w:lang w:val="es-ES_tradnl"/>
              </w:rPr>
            </w:pPr>
            <w:r w:rsidRPr="00E2029F">
              <w:rPr>
                <w:rFonts w:eastAsia="Times New Roman" w:cs="Arial"/>
                <w:b/>
                <w:bCs/>
                <w:sz w:val="12"/>
                <w:szCs w:val="12"/>
                <w:lang w:val="es-ES_tradnl"/>
              </w:rPr>
              <w:t>Fecha de finalización del period de ejecución</w:t>
            </w:r>
          </w:p>
        </w:tc>
        <w:tc>
          <w:tcPr>
            <w:tcW w:w="376" w:type="pct"/>
            <w:tcBorders>
              <w:top w:val="nil"/>
              <w:left w:val="nil"/>
              <w:bottom w:val="single" w:sz="4" w:space="0" w:color="auto"/>
              <w:right w:val="single" w:sz="4" w:space="0" w:color="auto"/>
            </w:tcBorders>
            <w:shd w:val="clear" w:color="000000" w:fill="FFFFFF"/>
            <w:noWrap/>
            <w:vAlign w:val="center"/>
            <w:hideMark/>
          </w:tcPr>
          <w:p w14:paraId="4E729EDA" w14:textId="77777777" w:rsidR="00AD66A6" w:rsidRPr="00325F25" w:rsidRDefault="00AD66A6" w:rsidP="0038698C">
            <w:pPr>
              <w:jc w:val="right"/>
              <w:rPr>
                <w:rFonts w:eastAsia="Times New Roman" w:cs="Arial"/>
                <w:b/>
                <w:bCs/>
                <w:sz w:val="12"/>
                <w:szCs w:val="12"/>
                <w:lang w:val="es-ES_tradnl"/>
              </w:rPr>
            </w:pPr>
            <w:r w:rsidRPr="00325F25">
              <w:rPr>
                <w:rFonts w:eastAsia="Times New Roman" w:cs="Arial"/>
                <w:b/>
                <w:bCs/>
                <w:sz w:val="12"/>
                <w:szCs w:val="12"/>
                <w:lang w:val="es-ES_tradnl"/>
              </w:rPr>
              <w:t> </w:t>
            </w:r>
          </w:p>
        </w:tc>
        <w:tc>
          <w:tcPr>
            <w:tcW w:w="329" w:type="pct"/>
            <w:tcBorders>
              <w:top w:val="nil"/>
              <w:left w:val="nil"/>
              <w:bottom w:val="nil"/>
              <w:right w:val="nil"/>
            </w:tcBorders>
            <w:shd w:val="clear" w:color="auto" w:fill="auto"/>
            <w:noWrap/>
            <w:vAlign w:val="bottom"/>
            <w:hideMark/>
          </w:tcPr>
          <w:p w14:paraId="1E44F766" w14:textId="77777777" w:rsidR="00AD66A6" w:rsidRPr="00325F25" w:rsidRDefault="00AD66A6" w:rsidP="0038698C">
            <w:pPr>
              <w:jc w:val="right"/>
              <w:rPr>
                <w:rFonts w:eastAsia="Times New Roman" w:cs="Arial"/>
                <w:b/>
                <w:bCs/>
                <w:sz w:val="12"/>
                <w:szCs w:val="12"/>
                <w:lang w:val="es-ES_tradnl"/>
              </w:rPr>
            </w:pPr>
          </w:p>
        </w:tc>
        <w:tc>
          <w:tcPr>
            <w:tcW w:w="337" w:type="pct"/>
            <w:tcBorders>
              <w:top w:val="nil"/>
              <w:left w:val="nil"/>
              <w:bottom w:val="nil"/>
              <w:right w:val="nil"/>
            </w:tcBorders>
            <w:shd w:val="clear" w:color="auto" w:fill="auto"/>
            <w:noWrap/>
            <w:vAlign w:val="bottom"/>
            <w:hideMark/>
          </w:tcPr>
          <w:p w14:paraId="56D3D49A" w14:textId="77777777" w:rsidR="00AD66A6" w:rsidRPr="00325F25" w:rsidRDefault="00AD66A6" w:rsidP="0038698C">
            <w:pPr>
              <w:jc w:val="right"/>
              <w:rPr>
                <w:rFonts w:eastAsia="Times New Roman" w:cs="Arial"/>
                <w:sz w:val="12"/>
                <w:szCs w:val="12"/>
                <w:lang w:val="es-ES_tradnl"/>
              </w:rPr>
            </w:pPr>
          </w:p>
        </w:tc>
        <w:tc>
          <w:tcPr>
            <w:tcW w:w="309" w:type="pct"/>
            <w:tcBorders>
              <w:top w:val="nil"/>
              <w:left w:val="nil"/>
              <w:bottom w:val="nil"/>
              <w:right w:val="nil"/>
            </w:tcBorders>
            <w:shd w:val="clear" w:color="auto" w:fill="auto"/>
            <w:noWrap/>
            <w:vAlign w:val="bottom"/>
            <w:hideMark/>
          </w:tcPr>
          <w:p w14:paraId="178FFBE7" w14:textId="77777777" w:rsidR="00AD66A6" w:rsidRPr="00325F25" w:rsidRDefault="00AD66A6" w:rsidP="0038698C">
            <w:pPr>
              <w:jc w:val="right"/>
              <w:rPr>
                <w:rFonts w:eastAsia="Times New Roman" w:cs="Arial"/>
                <w:sz w:val="12"/>
                <w:szCs w:val="12"/>
                <w:lang w:val="es-ES_tradnl"/>
              </w:rPr>
            </w:pPr>
          </w:p>
        </w:tc>
        <w:tc>
          <w:tcPr>
            <w:tcW w:w="388" w:type="pct"/>
            <w:tcBorders>
              <w:top w:val="nil"/>
              <w:left w:val="nil"/>
              <w:bottom w:val="nil"/>
              <w:right w:val="nil"/>
            </w:tcBorders>
            <w:shd w:val="clear" w:color="auto" w:fill="auto"/>
            <w:noWrap/>
            <w:vAlign w:val="bottom"/>
            <w:hideMark/>
          </w:tcPr>
          <w:p w14:paraId="09BF8C3C" w14:textId="77777777" w:rsidR="00AD66A6" w:rsidRPr="00325F25" w:rsidRDefault="00AD66A6" w:rsidP="0038698C">
            <w:pPr>
              <w:jc w:val="right"/>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14739FEF"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32CB47E7" w14:textId="77777777" w:rsidR="00AD66A6" w:rsidRPr="00325F25" w:rsidRDefault="00AD66A6" w:rsidP="0038698C">
            <w:pPr>
              <w:rPr>
                <w:rFonts w:eastAsia="Times New Roman" w:cs="Arial"/>
                <w:sz w:val="12"/>
                <w:szCs w:val="12"/>
                <w:lang w:val="es-ES_tradnl"/>
              </w:rPr>
            </w:pPr>
          </w:p>
        </w:tc>
        <w:tc>
          <w:tcPr>
            <w:tcW w:w="174" w:type="pct"/>
            <w:tcBorders>
              <w:top w:val="nil"/>
              <w:left w:val="nil"/>
              <w:bottom w:val="nil"/>
              <w:right w:val="nil"/>
            </w:tcBorders>
            <w:shd w:val="clear" w:color="auto" w:fill="auto"/>
            <w:noWrap/>
            <w:vAlign w:val="bottom"/>
            <w:hideMark/>
          </w:tcPr>
          <w:p w14:paraId="3B92259C" w14:textId="77777777" w:rsidR="00AD66A6" w:rsidRPr="00325F25" w:rsidRDefault="00AD66A6" w:rsidP="0038698C">
            <w:pPr>
              <w:rPr>
                <w:rFonts w:eastAsia="Times New Roman" w:cs="Arial"/>
                <w:sz w:val="12"/>
                <w:szCs w:val="12"/>
                <w:lang w:val="es-ES_tradnl"/>
              </w:rPr>
            </w:pPr>
          </w:p>
        </w:tc>
        <w:tc>
          <w:tcPr>
            <w:tcW w:w="81" w:type="pct"/>
            <w:tcBorders>
              <w:top w:val="nil"/>
              <w:left w:val="nil"/>
              <w:bottom w:val="nil"/>
              <w:right w:val="nil"/>
            </w:tcBorders>
            <w:shd w:val="clear" w:color="auto" w:fill="auto"/>
            <w:noWrap/>
            <w:vAlign w:val="bottom"/>
            <w:hideMark/>
          </w:tcPr>
          <w:p w14:paraId="70B9B074" w14:textId="77777777" w:rsidR="00AD66A6" w:rsidRPr="00325F25" w:rsidRDefault="00AD66A6" w:rsidP="0038698C">
            <w:pPr>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1EB349BB"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5F203A83" w14:textId="77777777" w:rsidR="00AD66A6" w:rsidRPr="00325F25" w:rsidRDefault="00AD66A6" w:rsidP="0038698C">
            <w:pPr>
              <w:rPr>
                <w:rFonts w:eastAsia="Times New Roman" w:cs="Arial"/>
                <w:sz w:val="12"/>
                <w:szCs w:val="12"/>
                <w:lang w:val="es-ES_tradnl"/>
              </w:rPr>
            </w:pPr>
          </w:p>
        </w:tc>
        <w:tc>
          <w:tcPr>
            <w:tcW w:w="366" w:type="pct"/>
            <w:tcBorders>
              <w:top w:val="nil"/>
              <w:left w:val="nil"/>
              <w:bottom w:val="nil"/>
              <w:right w:val="nil"/>
            </w:tcBorders>
            <w:shd w:val="clear" w:color="auto" w:fill="auto"/>
            <w:noWrap/>
            <w:vAlign w:val="bottom"/>
            <w:hideMark/>
          </w:tcPr>
          <w:p w14:paraId="72719A8A" w14:textId="77777777" w:rsidR="00AD66A6" w:rsidRPr="00325F25" w:rsidRDefault="00AD66A6" w:rsidP="0038698C">
            <w:pPr>
              <w:rPr>
                <w:rFonts w:eastAsia="Times New Roman" w:cs="Arial"/>
                <w:sz w:val="12"/>
                <w:szCs w:val="12"/>
                <w:lang w:val="es-ES_tradnl"/>
              </w:rPr>
            </w:pPr>
          </w:p>
        </w:tc>
      </w:tr>
      <w:tr w:rsidR="00AD66A6" w:rsidRPr="009842F5" w14:paraId="58AEA425" w14:textId="77777777" w:rsidTr="00AD66A6">
        <w:trPr>
          <w:trHeight w:val="188"/>
        </w:trPr>
        <w:tc>
          <w:tcPr>
            <w:tcW w:w="1182" w:type="pct"/>
            <w:tcBorders>
              <w:top w:val="nil"/>
              <w:left w:val="single" w:sz="8" w:space="0" w:color="auto"/>
              <w:bottom w:val="nil"/>
              <w:right w:val="nil"/>
            </w:tcBorders>
            <w:shd w:val="clear" w:color="auto" w:fill="auto"/>
            <w:vAlign w:val="center"/>
            <w:hideMark/>
          </w:tcPr>
          <w:p w14:paraId="139B312F" w14:textId="77777777" w:rsidR="00AD66A6" w:rsidRPr="00325F25" w:rsidRDefault="00AD66A6" w:rsidP="0038698C">
            <w:pPr>
              <w:jc w:val="center"/>
              <w:rPr>
                <w:rFonts w:eastAsia="Times New Roman" w:cs="Arial"/>
                <w:b/>
                <w:bCs/>
                <w:sz w:val="12"/>
                <w:szCs w:val="12"/>
                <w:lang w:val="es-ES_tradnl"/>
              </w:rPr>
            </w:pPr>
            <w:r w:rsidRPr="00325F25">
              <w:rPr>
                <w:rFonts w:eastAsia="Times New Roman" w:cs="Arial"/>
                <w:b/>
                <w:bCs/>
                <w:sz w:val="12"/>
                <w:szCs w:val="12"/>
                <w:lang w:val="es-ES_tradnl"/>
              </w:rPr>
              <w:t> </w:t>
            </w:r>
          </w:p>
        </w:tc>
        <w:tc>
          <w:tcPr>
            <w:tcW w:w="376" w:type="pct"/>
            <w:tcBorders>
              <w:top w:val="nil"/>
              <w:left w:val="nil"/>
              <w:bottom w:val="nil"/>
              <w:right w:val="nil"/>
            </w:tcBorders>
            <w:shd w:val="clear" w:color="auto" w:fill="auto"/>
            <w:vAlign w:val="center"/>
            <w:hideMark/>
          </w:tcPr>
          <w:p w14:paraId="43BAA21A" w14:textId="77777777" w:rsidR="00AD66A6" w:rsidRPr="00325F25" w:rsidRDefault="00AD66A6" w:rsidP="0038698C">
            <w:pPr>
              <w:jc w:val="center"/>
              <w:rPr>
                <w:rFonts w:eastAsia="Times New Roman" w:cs="Arial"/>
                <w:b/>
                <w:bCs/>
                <w:sz w:val="12"/>
                <w:szCs w:val="12"/>
                <w:lang w:val="es-ES_tradnl"/>
              </w:rPr>
            </w:pPr>
          </w:p>
        </w:tc>
        <w:tc>
          <w:tcPr>
            <w:tcW w:w="329" w:type="pct"/>
            <w:tcBorders>
              <w:top w:val="nil"/>
              <w:left w:val="nil"/>
              <w:bottom w:val="nil"/>
              <w:right w:val="nil"/>
            </w:tcBorders>
            <w:shd w:val="clear" w:color="auto" w:fill="auto"/>
            <w:noWrap/>
            <w:vAlign w:val="bottom"/>
            <w:hideMark/>
          </w:tcPr>
          <w:p w14:paraId="69E9AAF7" w14:textId="77777777" w:rsidR="00AD66A6" w:rsidRPr="00325F25" w:rsidRDefault="00AD66A6" w:rsidP="0038698C">
            <w:pPr>
              <w:jc w:val="center"/>
              <w:rPr>
                <w:rFonts w:eastAsia="Times New Roman" w:cs="Arial"/>
                <w:sz w:val="12"/>
                <w:szCs w:val="12"/>
                <w:lang w:val="es-ES_tradnl"/>
              </w:rPr>
            </w:pPr>
          </w:p>
        </w:tc>
        <w:tc>
          <w:tcPr>
            <w:tcW w:w="337" w:type="pct"/>
            <w:tcBorders>
              <w:top w:val="nil"/>
              <w:left w:val="nil"/>
              <w:bottom w:val="nil"/>
              <w:right w:val="nil"/>
            </w:tcBorders>
            <w:shd w:val="clear" w:color="auto" w:fill="auto"/>
            <w:noWrap/>
            <w:vAlign w:val="bottom"/>
            <w:hideMark/>
          </w:tcPr>
          <w:p w14:paraId="4450B8AC" w14:textId="77777777" w:rsidR="00AD66A6" w:rsidRPr="00325F25" w:rsidRDefault="00AD66A6" w:rsidP="0038698C">
            <w:pPr>
              <w:jc w:val="right"/>
              <w:rPr>
                <w:rFonts w:eastAsia="Times New Roman" w:cs="Arial"/>
                <w:sz w:val="12"/>
                <w:szCs w:val="12"/>
                <w:lang w:val="es-ES_tradnl"/>
              </w:rPr>
            </w:pPr>
          </w:p>
        </w:tc>
        <w:tc>
          <w:tcPr>
            <w:tcW w:w="309" w:type="pct"/>
            <w:tcBorders>
              <w:top w:val="nil"/>
              <w:left w:val="nil"/>
              <w:bottom w:val="nil"/>
              <w:right w:val="nil"/>
            </w:tcBorders>
            <w:shd w:val="clear" w:color="auto" w:fill="auto"/>
            <w:noWrap/>
            <w:vAlign w:val="bottom"/>
            <w:hideMark/>
          </w:tcPr>
          <w:p w14:paraId="67C96A62" w14:textId="77777777" w:rsidR="00AD66A6" w:rsidRPr="00325F25" w:rsidRDefault="00AD66A6" w:rsidP="0038698C">
            <w:pPr>
              <w:jc w:val="right"/>
              <w:rPr>
                <w:rFonts w:eastAsia="Times New Roman" w:cs="Arial"/>
                <w:sz w:val="12"/>
                <w:szCs w:val="12"/>
                <w:lang w:val="es-ES_tradnl"/>
              </w:rPr>
            </w:pPr>
          </w:p>
        </w:tc>
        <w:tc>
          <w:tcPr>
            <w:tcW w:w="388" w:type="pct"/>
            <w:tcBorders>
              <w:top w:val="nil"/>
              <w:left w:val="nil"/>
              <w:bottom w:val="nil"/>
              <w:right w:val="nil"/>
            </w:tcBorders>
            <w:shd w:val="clear" w:color="auto" w:fill="auto"/>
            <w:noWrap/>
            <w:vAlign w:val="bottom"/>
            <w:hideMark/>
          </w:tcPr>
          <w:p w14:paraId="350331E1" w14:textId="77777777" w:rsidR="00AD66A6" w:rsidRPr="00325F25" w:rsidRDefault="00AD66A6" w:rsidP="0038698C">
            <w:pPr>
              <w:jc w:val="right"/>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569D5D61"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6E142781" w14:textId="77777777" w:rsidR="00AD66A6" w:rsidRPr="00325F25" w:rsidRDefault="00AD66A6" w:rsidP="0038698C">
            <w:pPr>
              <w:rPr>
                <w:rFonts w:eastAsia="Times New Roman" w:cs="Arial"/>
                <w:sz w:val="12"/>
                <w:szCs w:val="12"/>
                <w:lang w:val="es-ES_tradnl"/>
              </w:rPr>
            </w:pPr>
          </w:p>
        </w:tc>
        <w:tc>
          <w:tcPr>
            <w:tcW w:w="174" w:type="pct"/>
            <w:tcBorders>
              <w:top w:val="nil"/>
              <w:left w:val="nil"/>
              <w:bottom w:val="nil"/>
              <w:right w:val="nil"/>
            </w:tcBorders>
            <w:shd w:val="clear" w:color="auto" w:fill="auto"/>
            <w:noWrap/>
            <w:vAlign w:val="bottom"/>
            <w:hideMark/>
          </w:tcPr>
          <w:p w14:paraId="163C74D4" w14:textId="77777777" w:rsidR="00AD66A6" w:rsidRPr="00325F25" w:rsidRDefault="00AD66A6" w:rsidP="0038698C">
            <w:pPr>
              <w:rPr>
                <w:rFonts w:eastAsia="Times New Roman" w:cs="Arial"/>
                <w:sz w:val="12"/>
                <w:szCs w:val="12"/>
                <w:lang w:val="es-ES_tradnl"/>
              </w:rPr>
            </w:pPr>
          </w:p>
        </w:tc>
        <w:tc>
          <w:tcPr>
            <w:tcW w:w="81" w:type="pct"/>
            <w:tcBorders>
              <w:top w:val="nil"/>
              <w:left w:val="nil"/>
              <w:bottom w:val="nil"/>
              <w:right w:val="nil"/>
            </w:tcBorders>
            <w:shd w:val="clear" w:color="auto" w:fill="auto"/>
            <w:noWrap/>
            <w:vAlign w:val="bottom"/>
            <w:hideMark/>
          </w:tcPr>
          <w:p w14:paraId="285AB153" w14:textId="77777777" w:rsidR="00AD66A6" w:rsidRPr="00325F25" w:rsidRDefault="00AD66A6" w:rsidP="0038698C">
            <w:pPr>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3A517B7E"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62FB6F68" w14:textId="77777777" w:rsidR="00AD66A6" w:rsidRPr="00325F25" w:rsidRDefault="00AD66A6" w:rsidP="0038698C">
            <w:pPr>
              <w:rPr>
                <w:rFonts w:eastAsia="Times New Roman" w:cs="Arial"/>
                <w:sz w:val="12"/>
                <w:szCs w:val="12"/>
                <w:lang w:val="es-ES_tradnl"/>
              </w:rPr>
            </w:pPr>
          </w:p>
        </w:tc>
        <w:tc>
          <w:tcPr>
            <w:tcW w:w="366" w:type="pct"/>
            <w:tcBorders>
              <w:top w:val="nil"/>
              <w:left w:val="nil"/>
              <w:bottom w:val="nil"/>
              <w:right w:val="nil"/>
            </w:tcBorders>
            <w:shd w:val="clear" w:color="auto" w:fill="auto"/>
            <w:noWrap/>
            <w:vAlign w:val="bottom"/>
            <w:hideMark/>
          </w:tcPr>
          <w:p w14:paraId="62EDD26E" w14:textId="77777777" w:rsidR="00AD66A6" w:rsidRPr="00325F25" w:rsidRDefault="00AD66A6" w:rsidP="0038698C">
            <w:pPr>
              <w:rPr>
                <w:rFonts w:eastAsia="Times New Roman" w:cs="Arial"/>
                <w:sz w:val="12"/>
                <w:szCs w:val="12"/>
                <w:lang w:val="es-ES_tradnl"/>
              </w:rPr>
            </w:pPr>
          </w:p>
        </w:tc>
      </w:tr>
      <w:tr w:rsidR="00AD66A6" w:rsidRPr="00793836" w14:paraId="038D217C" w14:textId="77777777" w:rsidTr="00AD66A6">
        <w:trPr>
          <w:trHeight w:val="250"/>
        </w:trPr>
        <w:tc>
          <w:tcPr>
            <w:tcW w:w="1182" w:type="pct"/>
            <w:tcBorders>
              <w:top w:val="single" w:sz="8" w:space="0" w:color="auto"/>
              <w:left w:val="single" w:sz="8" w:space="0" w:color="auto"/>
              <w:bottom w:val="single" w:sz="4" w:space="0" w:color="auto"/>
              <w:right w:val="nil"/>
            </w:tcBorders>
            <w:shd w:val="clear" w:color="000000" w:fill="D9D9D9"/>
            <w:vAlign w:val="center"/>
            <w:hideMark/>
          </w:tcPr>
          <w:p w14:paraId="3EDC05A5"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Período de presentación de informes financieros</w:t>
            </w:r>
          </w:p>
        </w:tc>
        <w:tc>
          <w:tcPr>
            <w:tcW w:w="376" w:type="pct"/>
            <w:tcBorders>
              <w:top w:val="single" w:sz="8" w:space="0" w:color="auto"/>
              <w:left w:val="nil"/>
              <w:bottom w:val="single" w:sz="4" w:space="0" w:color="auto"/>
              <w:right w:val="nil"/>
            </w:tcBorders>
            <w:shd w:val="clear" w:color="000000" w:fill="D9D9D9"/>
            <w:vAlign w:val="center"/>
            <w:hideMark/>
          </w:tcPr>
          <w:p w14:paraId="19D15B7E"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Fecha de inicio:</w:t>
            </w:r>
          </w:p>
        </w:tc>
        <w:tc>
          <w:tcPr>
            <w:tcW w:w="329" w:type="pct"/>
            <w:tcBorders>
              <w:top w:val="single" w:sz="8" w:space="0" w:color="auto"/>
              <w:left w:val="nil"/>
              <w:bottom w:val="single" w:sz="4" w:space="0" w:color="auto"/>
              <w:right w:val="single" w:sz="8" w:space="0" w:color="auto"/>
            </w:tcBorders>
            <w:shd w:val="clear" w:color="000000" w:fill="FFFFFF"/>
            <w:vAlign w:val="center"/>
            <w:hideMark/>
          </w:tcPr>
          <w:p w14:paraId="0FAFAE5E" w14:textId="77777777" w:rsidR="00AD66A6" w:rsidRPr="00793836" w:rsidRDefault="00AD66A6" w:rsidP="0038698C">
            <w:pPr>
              <w:jc w:val="right"/>
              <w:rPr>
                <w:rFonts w:eastAsia="Times New Roman" w:cs="Arial"/>
                <w:sz w:val="12"/>
                <w:szCs w:val="12"/>
              </w:rPr>
            </w:pPr>
            <w:r w:rsidRPr="00793836">
              <w:rPr>
                <w:rFonts w:eastAsia="Times New Roman" w:cs="Arial"/>
                <w:sz w:val="12"/>
                <w:szCs w:val="12"/>
              </w:rPr>
              <w:t>1-</w:t>
            </w:r>
            <w:r>
              <w:rPr>
                <w:rFonts w:eastAsia="Times New Roman" w:cs="Arial"/>
                <w:sz w:val="12"/>
                <w:szCs w:val="12"/>
              </w:rPr>
              <w:t>enero</w:t>
            </w:r>
            <w:r w:rsidRPr="00793836">
              <w:rPr>
                <w:rFonts w:eastAsia="Times New Roman" w:cs="Arial"/>
                <w:sz w:val="12"/>
                <w:szCs w:val="12"/>
              </w:rPr>
              <w:t>-19</w:t>
            </w:r>
          </w:p>
        </w:tc>
        <w:tc>
          <w:tcPr>
            <w:tcW w:w="337" w:type="pct"/>
            <w:tcBorders>
              <w:top w:val="single" w:sz="8" w:space="0" w:color="auto"/>
              <w:left w:val="nil"/>
              <w:bottom w:val="single" w:sz="4" w:space="0" w:color="auto"/>
              <w:right w:val="nil"/>
            </w:tcBorders>
            <w:shd w:val="clear" w:color="000000" w:fill="D9D9D9"/>
            <w:vAlign w:val="center"/>
            <w:hideMark/>
          </w:tcPr>
          <w:p w14:paraId="61C10B76"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Fecha de finalización:</w:t>
            </w:r>
          </w:p>
        </w:tc>
        <w:tc>
          <w:tcPr>
            <w:tcW w:w="309" w:type="pct"/>
            <w:tcBorders>
              <w:top w:val="single" w:sz="8" w:space="0" w:color="auto"/>
              <w:left w:val="nil"/>
              <w:bottom w:val="single" w:sz="4" w:space="0" w:color="auto"/>
              <w:right w:val="single" w:sz="8" w:space="0" w:color="auto"/>
            </w:tcBorders>
            <w:shd w:val="clear" w:color="000000" w:fill="FFFFFF"/>
            <w:vAlign w:val="center"/>
            <w:hideMark/>
          </w:tcPr>
          <w:p w14:paraId="45E19A5D" w14:textId="77777777" w:rsidR="00AD66A6" w:rsidRPr="00793836" w:rsidRDefault="00AD66A6" w:rsidP="0038698C">
            <w:pPr>
              <w:jc w:val="right"/>
              <w:rPr>
                <w:rFonts w:eastAsia="Times New Roman" w:cs="Arial"/>
                <w:sz w:val="12"/>
                <w:szCs w:val="12"/>
              </w:rPr>
            </w:pPr>
            <w:r>
              <w:rPr>
                <w:rFonts w:eastAsia="Times New Roman" w:cs="Arial"/>
                <w:sz w:val="12"/>
                <w:szCs w:val="12"/>
              </w:rPr>
              <w:t>31-Di</w:t>
            </w:r>
            <w:r w:rsidRPr="00793836">
              <w:rPr>
                <w:rFonts w:eastAsia="Times New Roman" w:cs="Arial"/>
                <w:sz w:val="12"/>
                <w:szCs w:val="12"/>
              </w:rPr>
              <w:t>c-19</w:t>
            </w:r>
          </w:p>
        </w:tc>
        <w:tc>
          <w:tcPr>
            <w:tcW w:w="388" w:type="pct"/>
            <w:tcBorders>
              <w:top w:val="nil"/>
              <w:left w:val="nil"/>
              <w:bottom w:val="nil"/>
              <w:right w:val="nil"/>
            </w:tcBorders>
            <w:shd w:val="clear" w:color="auto" w:fill="auto"/>
            <w:noWrap/>
            <w:vAlign w:val="bottom"/>
            <w:hideMark/>
          </w:tcPr>
          <w:p w14:paraId="7AEBBC38" w14:textId="77777777" w:rsidR="00AD66A6" w:rsidRPr="00793836" w:rsidRDefault="00AD66A6" w:rsidP="0038698C">
            <w:pPr>
              <w:jc w:val="right"/>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40A0B9C3"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71034CC5"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hideMark/>
          </w:tcPr>
          <w:p w14:paraId="26A52717"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hideMark/>
          </w:tcPr>
          <w:p w14:paraId="28D96B35"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37F29F87"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71DEDE9F"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hideMark/>
          </w:tcPr>
          <w:p w14:paraId="0E0F7F23" w14:textId="77777777" w:rsidR="00AD66A6" w:rsidRPr="00793836" w:rsidRDefault="00AD66A6" w:rsidP="0038698C">
            <w:pPr>
              <w:rPr>
                <w:rFonts w:eastAsia="Times New Roman" w:cs="Arial"/>
                <w:sz w:val="12"/>
                <w:szCs w:val="12"/>
              </w:rPr>
            </w:pPr>
          </w:p>
        </w:tc>
      </w:tr>
      <w:tr w:rsidR="00AD66A6" w:rsidRPr="00793836" w14:paraId="43B68E90" w14:textId="77777777" w:rsidTr="00AD66A6">
        <w:trPr>
          <w:trHeight w:val="349"/>
        </w:trPr>
        <w:tc>
          <w:tcPr>
            <w:tcW w:w="1182" w:type="pct"/>
            <w:tcBorders>
              <w:top w:val="nil"/>
              <w:left w:val="single" w:sz="8" w:space="0" w:color="auto"/>
              <w:bottom w:val="single" w:sz="8" w:space="0" w:color="auto"/>
              <w:right w:val="nil"/>
            </w:tcBorders>
            <w:shd w:val="clear" w:color="000000" w:fill="D9D9D9"/>
            <w:vAlign w:val="center"/>
            <w:hideMark/>
          </w:tcPr>
          <w:p w14:paraId="584A3543"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Período acumulativo de informes financieros</w:t>
            </w:r>
          </w:p>
        </w:tc>
        <w:tc>
          <w:tcPr>
            <w:tcW w:w="376" w:type="pct"/>
            <w:tcBorders>
              <w:top w:val="nil"/>
              <w:left w:val="nil"/>
              <w:bottom w:val="single" w:sz="8" w:space="0" w:color="auto"/>
              <w:right w:val="nil"/>
            </w:tcBorders>
            <w:shd w:val="clear" w:color="000000" w:fill="D9D9D9"/>
            <w:vAlign w:val="center"/>
            <w:hideMark/>
          </w:tcPr>
          <w:p w14:paraId="31EA336B"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Fecha de inicio:</w:t>
            </w:r>
          </w:p>
        </w:tc>
        <w:tc>
          <w:tcPr>
            <w:tcW w:w="329" w:type="pct"/>
            <w:tcBorders>
              <w:top w:val="nil"/>
              <w:left w:val="nil"/>
              <w:bottom w:val="single" w:sz="8" w:space="0" w:color="auto"/>
              <w:right w:val="single" w:sz="8" w:space="0" w:color="auto"/>
            </w:tcBorders>
            <w:shd w:val="clear" w:color="000000" w:fill="FFFFFF"/>
            <w:vAlign w:val="center"/>
            <w:hideMark/>
          </w:tcPr>
          <w:p w14:paraId="00C34ED1" w14:textId="77777777" w:rsidR="00AD66A6" w:rsidRPr="00793836" w:rsidRDefault="00AD66A6" w:rsidP="0038698C">
            <w:pPr>
              <w:jc w:val="right"/>
              <w:rPr>
                <w:rFonts w:eastAsia="Times New Roman" w:cs="Arial"/>
                <w:sz w:val="12"/>
                <w:szCs w:val="12"/>
              </w:rPr>
            </w:pPr>
            <w:r w:rsidRPr="00793836">
              <w:rPr>
                <w:rFonts w:eastAsia="Times New Roman" w:cs="Arial"/>
                <w:sz w:val="12"/>
                <w:szCs w:val="12"/>
              </w:rPr>
              <w:t>1-</w:t>
            </w:r>
            <w:r>
              <w:rPr>
                <w:rFonts w:eastAsia="Times New Roman" w:cs="Arial"/>
                <w:sz w:val="12"/>
                <w:szCs w:val="12"/>
              </w:rPr>
              <w:t>enero</w:t>
            </w:r>
            <w:r w:rsidRPr="00793836">
              <w:rPr>
                <w:rFonts w:eastAsia="Times New Roman" w:cs="Arial"/>
                <w:sz w:val="12"/>
                <w:szCs w:val="12"/>
              </w:rPr>
              <w:t>-18</w:t>
            </w:r>
          </w:p>
        </w:tc>
        <w:tc>
          <w:tcPr>
            <w:tcW w:w="337" w:type="pct"/>
            <w:tcBorders>
              <w:top w:val="nil"/>
              <w:left w:val="nil"/>
              <w:bottom w:val="single" w:sz="8" w:space="0" w:color="auto"/>
              <w:right w:val="nil"/>
            </w:tcBorders>
            <w:shd w:val="clear" w:color="000000" w:fill="D9D9D9"/>
            <w:vAlign w:val="center"/>
            <w:hideMark/>
          </w:tcPr>
          <w:p w14:paraId="5FB34B37" w14:textId="77777777" w:rsidR="00AD66A6" w:rsidRPr="00965861" w:rsidRDefault="00AD66A6" w:rsidP="0038698C">
            <w:pPr>
              <w:rPr>
                <w:rFonts w:eastAsia="Times New Roman" w:cs="Arial"/>
                <w:b/>
                <w:bCs/>
                <w:sz w:val="12"/>
                <w:szCs w:val="12"/>
                <w:lang w:val="es-ES_tradnl"/>
              </w:rPr>
            </w:pPr>
            <w:r w:rsidRPr="00965861">
              <w:rPr>
                <w:rFonts w:eastAsia="Times New Roman" w:cs="Arial"/>
                <w:b/>
                <w:bCs/>
                <w:sz w:val="12"/>
                <w:szCs w:val="12"/>
                <w:lang w:val="es-ES_tradnl"/>
              </w:rPr>
              <w:t>Fecha de finalización:</w:t>
            </w:r>
          </w:p>
        </w:tc>
        <w:tc>
          <w:tcPr>
            <w:tcW w:w="309" w:type="pct"/>
            <w:tcBorders>
              <w:top w:val="nil"/>
              <w:left w:val="nil"/>
              <w:bottom w:val="single" w:sz="8" w:space="0" w:color="auto"/>
              <w:right w:val="single" w:sz="8" w:space="0" w:color="auto"/>
            </w:tcBorders>
            <w:shd w:val="clear" w:color="000000" w:fill="FFFFFF"/>
            <w:vAlign w:val="center"/>
            <w:hideMark/>
          </w:tcPr>
          <w:p w14:paraId="7C596C06" w14:textId="77777777" w:rsidR="00AD66A6" w:rsidRPr="00793836" w:rsidRDefault="00AD66A6" w:rsidP="0038698C">
            <w:pPr>
              <w:jc w:val="right"/>
              <w:rPr>
                <w:rFonts w:eastAsia="Times New Roman" w:cs="Arial"/>
                <w:sz w:val="12"/>
                <w:szCs w:val="12"/>
              </w:rPr>
            </w:pPr>
            <w:r>
              <w:rPr>
                <w:rFonts w:eastAsia="Times New Roman" w:cs="Arial"/>
                <w:sz w:val="12"/>
                <w:szCs w:val="12"/>
              </w:rPr>
              <w:t>31-Di</w:t>
            </w:r>
            <w:r w:rsidRPr="00793836">
              <w:rPr>
                <w:rFonts w:eastAsia="Times New Roman" w:cs="Arial"/>
                <w:sz w:val="12"/>
                <w:szCs w:val="12"/>
              </w:rPr>
              <w:t>c-19</w:t>
            </w:r>
          </w:p>
        </w:tc>
        <w:tc>
          <w:tcPr>
            <w:tcW w:w="388" w:type="pct"/>
            <w:tcBorders>
              <w:top w:val="nil"/>
              <w:left w:val="nil"/>
              <w:bottom w:val="nil"/>
              <w:right w:val="nil"/>
            </w:tcBorders>
            <w:shd w:val="clear" w:color="auto" w:fill="auto"/>
            <w:noWrap/>
            <w:vAlign w:val="bottom"/>
            <w:hideMark/>
          </w:tcPr>
          <w:p w14:paraId="0D920ED4" w14:textId="77777777" w:rsidR="00AD66A6" w:rsidRPr="00793836" w:rsidRDefault="00AD66A6" w:rsidP="0038698C">
            <w:pPr>
              <w:jc w:val="right"/>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374F9D2E"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044DB01A" w14:textId="77777777" w:rsidR="00AD66A6" w:rsidRPr="00793836" w:rsidRDefault="00AD66A6" w:rsidP="0038698C">
            <w:pPr>
              <w:rPr>
                <w:rFonts w:eastAsia="Times New Roman" w:cs="Arial"/>
                <w:sz w:val="12"/>
                <w:szCs w:val="12"/>
              </w:rPr>
            </w:pPr>
          </w:p>
        </w:tc>
        <w:tc>
          <w:tcPr>
            <w:tcW w:w="174" w:type="pct"/>
            <w:tcBorders>
              <w:top w:val="nil"/>
              <w:left w:val="nil"/>
              <w:bottom w:val="nil"/>
              <w:right w:val="nil"/>
            </w:tcBorders>
            <w:shd w:val="clear" w:color="auto" w:fill="auto"/>
            <w:noWrap/>
            <w:vAlign w:val="bottom"/>
            <w:hideMark/>
          </w:tcPr>
          <w:p w14:paraId="33698660" w14:textId="77777777" w:rsidR="00AD66A6" w:rsidRPr="00793836" w:rsidRDefault="00AD66A6" w:rsidP="0038698C">
            <w:pPr>
              <w:rPr>
                <w:rFonts w:eastAsia="Times New Roman" w:cs="Arial"/>
                <w:sz w:val="12"/>
                <w:szCs w:val="12"/>
              </w:rPr>
            </w:pPr>
          </w:p>
        </w:tc>
        <w:tc>
          <w:tcPr>
            <w:tcW w:w="81" w:type="pct"/>
            <w:tcBorders>
              <w:top w:val="nil"/>
              <w:left w:val="nil"/>
              <w:bottom w:val="nil"/>
              <w:right w:val="nil"/>
            </w:tcBorders>
            <w:shd w:val="clear" w:color="auto" w:fill="auto"/>
            <w:noWrap/>
            <w:vAlign w:val="bottom"/>
            <w:hideMark/>
          </w:tcPr>
          <w:p w14:paraId="7254DBCD" w14:textId="77777777" w:rsidR="00AD66A6" w:rsidRPr="00793836" w:rsidRDefault="00AD66A6" w:rsidP="0038698C">
            <w:pPr>
              <w:rPr>
                <w:rFonts w:eastAsia="Times New Roman" w:cs="Arial"/>
                <w:sz w:val="12"/>
                <w:szCs w:val="12"/>
              </w:rPr>
            </w:pPr>
          </w:p>
        </w:tc>
        <w:tc>
          <w:tcPr>
            <w:tcW w:w="369" w:type="pct"/>
            <w:tcBorders>
              <w:top w:val="nil"/>
              <w:left w:val="nil"/>
              <w:bottom w:val="nil"/>
              <w:right w:val="nil"/>
            </w:tcBorders>
            <w:shd w:val="clear" w:color="auto" w:fill="auto"/>
            <w:noWrap/>
            <w:vAlign w:val="bottom"/>
            <w:hideMark/>
          </w:tcPr>
          <w:p w14:paraId="3C8139E4" w14:textId="77777777" w:rsidR="00AD66A6" w:rsidRPr="00793836" w:rsidRDefault="00AD66A6" w:rsidP="0038698C">
            <w:pPr>
              <w:rPr>
                <w:rFonts w:eastAsia="Times New Roman" w:cs="Arial"/>
                <w:sz w:val="12"/>
                <w:szCs w:val="12"/>
              </w:rPr>
            </w:pPr>
          </w:p>
        </w:tc>
        <w:tc>
          <w:tcPr>
            <w:tcW w:w="359" w:type="pct"/>
            <w:tcBorders>
              <w:top w:val="nil"/>
              <w:left w:val="nil"/>
              <w:bottom w:val="nil"/>
              <w:right w:val="nil"/>
            </w:tcBorders>
            <w:shd w:val="clear" w:color="auto" w:fill="auto"/>
            <w:noWrap/>
            <w:vAlign w:val="bottom"/>
            <w:hideMark/>
          </w:tcPr>
          <w:p w14:paraId="4496A164" w14:textId="77777777" w:rsidR="00AD66A6" w:rsidRPr="00793836" w:rsidRDefault="00AD66A6" w:rsidP="0038698C">
            <w:pPr>
              <w:rPr>
                <w:rFonts w:eastAsia="Times New Roman" w:cs="Arial"/>
                <w:sz w:val="12"/>
                <w:szCs w:val="12"/>
              </w:rPr>
            </w:pPr>
          </w:p>
        </w:tc>
        <w:tc>
          <w:tcPr>
            <w:tcW w:w="366" w:type="pct"/>
            <w:tcBorders>
              <w:top w:val="nil"/>
              <w:left w:val="nil"/>
              <w:bottom w:val="nil"/>
              <w:right w:val="nil"/>
            </w:tcBorders>
            <w:shd w:val="clear" w:color="auto" w:fill="auto"/>
            <w:noWrap/>
            <w:vAlign w:val="bottom"/>
            <w:hideMark/>
          </w:tcPr>
          <w:p w14:paraId="61BA50B1" w14:textId="77777777" w:rsidR="00AD66A6" w:rsidRPr="00793836" w:rsidRDefault="00AD66A6" w:rsidP="0038698C">
            <w:pPr>
              <w:rPr>
                <w:rFonts w:eastAsia="Times New Roman" w:cs="Arial"/>
                <w:sz w:val="12"/>
                <w:szCs w:val="12"/>
              </w:rPr>
            </w:pPr>
          </w:p>
        </w:tc>
      </w:tr>
      <w:tr w:rsidR="00AD66A6" w:rsidRPr="009842F5" w14:paraId="13BCB669" w14:textId="77777777" w:rsidTr="00AD66A6">
        <w:trPr>
          <w:trHeight w:val="254"/>
        </w:trPr>
        <w:tc>
          <w:tcPr>
            <w:tcW w:w="1887" w:type="pct"/>
            <w:gridSpan w:val="3"/>
            <w:tcBorders>
              <w:top w:val="nil"/>
              <w:left w:val="nil"/>
              <w:bottom w:val="nil"/>
              <w:right w:val="nil"/>
            </w:tcBorders>
            <w:shd w:val="clear" w:color="auto" w:fill="auto"/>
            <w:noWrap/>
            <w:vAlign w:val="bottom"/>
            <w:hideMark/>
          </w:tcPr>
          <w:p w14:paraId="4D87F23E" w14:textId="5A898483" w:rsidR="00AD66A6" w:rsidRPr="00325F25" w:rsidRDefault="00AD66A6" w:rsidP="00AD66A6">
            <w:pPr>
              <w:rPr>
                <w:rFonts w:eastAsia="Times New Roman" w:cs="Arial"/>
                <w:b/>
                <w:bCs/>
                <w:color w:val="000000"/>
                <w:sz w:val="14"/>
                <w:szCs w:val="14"/>
                <w:lang w:val="es-ES_tradnl"/>
              </w:rPr>
            </w:pPr>
            <w:r w:rsidRPr="00024DCF">
              <w:rPr>
                <w:rFonts w:eastAsia="Times New Roman" w:cs="Arial"/>
                <w:b/>
                <w:bCs/>
                <w:color w:val="000000"/>
                <w:sz w:val="14"/>
                <w:szCs w:val="14"/>
                <w:lang w:val="es-ES_tradnl"/>
              </w:rPr>
              <w:t>Estados financieros (todas las cifras están en US$ a menos que se especifique de  manera)</w:t>
            </w:r>
          </w:p>
        </w:tc>
        <w:tc>
          <w:tcPr>
            <w:tcW w:w="337" w:type="pct"/>
            <w:tcBorders>
              <w:top w:val="nil"/>
              <w:left w:val="nil"/>
              <w:bottom w:val="nil"/>
              <w:right w:val="nil"/>
            </w:tcBorders>
            <w:shd w:val="clear" w:color="auto" w:fill="auto"/>
            <w:noWrap/>
            <w:vAlign w:val="bottom"/>
            <w:hideMark/>
          </w:tcPr>
          <w:p w14:paraId="73651CBF" w14:textId="77777777" w:rsidR="00AD66A6" w:rsidRPr="00325F25" w:rsidRDefault="00AD66A6" w:rsidP="0038698C">
            <w:pPr>
              <w:rPr>
                <w:rFonts w:eastAsia="Times New Roman" w:cs="Arial"/>
                <w:b/>
                <w:bCs/>
                <w:color w:val="000000"/>
                <w:sz w:val="12"/>
                <w:szCs w:val="12"/>
                <w:lang w:val="es-ES_tradnl"/>
              </w:rPr>
            </w:pPr>
          </w:p>
        </w:tc>
        <w:tc>
          <w:tcPr>
            <w:tcW w:w="309" w:type="pct"/>
            <w:tcBorders>
              <w:top w:val="nil"/>
              <w:left w:val="nil"/>
              <w:bottom w:val="nil"/>
              <w:right w:val="nil"/>
            </w:tcBorders>
            <w:shd w:val="clear" w:color="auto" w:fill="auto"/>
            <w:noWrap/>
            <w:vAlign w:val="bottom"/>
            <w:hideMark/>
          </w:tcPr>
          <w:p w14:paraId="090CBEA1" w14:textId="77777777" w:rsidR="00AD66A6" w:rsidRPr="00325F25" w:rsidRDefault="00AD66A6" w:rsidP="0038698C">
            <w:pPr>
              <w:rPr>
                <w:rFonts w:eastAsia="Times New Roman" w:cs="Arial"/>
                <w:sz w:val="12"/>
                <w:szCs w:val="12"/>
                <w:lang w:val="es-ES_tradnl"/>
              </w:rPr>
            </w:pPr>
          </w:p>
        </w:tc>
        <w:tc>
          <w:tcPr>
            <w:tcW w:w="388" w:type="pct"/>
            <w:tcBorders>
              <w:top w:val="nil"/>
              <w:left w:val="nil"/>
              <w:bottom w:val="nil"/>
              <w:right w:val="nil"/>
            </w:tcBorders>
            <w:shd w:val="clear" w:color="auto" w:fill="auto"/>
            <w:noWrap/>
            <w:vAlign w:val="bottom"/>
            <w:hideMark/>
          </w:tcPr>
          <w:p w14:paraId="48F9E80D" w14:textId="77777777" w:rsidR="00AD66A6" w:rsidRPr="00325F25" w:rsidRDefault="00AD66A6" w:rsidP="0038698C">
            <w:pPr>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36481217"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05EACE42" w14:textId="77777777" w:rsidR="00AD66A6" w:rsidRPr="00325F25" w:rsidRDefault="00AD66A6" w:rsidP="0038698C">
            <w:pPr>
              <w:rPr>
                <w:rFonts w:eastAsia="Times New Roman" w:cs="Arial"/>
                <w:sz w:val="12"/>
                <w:szCs w:val="12"/>
                <w:lang w:val="es-ES_tradnl"/>
              </w:rPr>
            </w:pPr>
          </w:p>
        </w:tc>
        <w:tc>
          <w:tcPr>
            <w:tcW w:w="174" w:type="pct"/>
            <w:tcBorders>
              <w:top w:val="nil"/>
              <w:left w:val="nil"/>
              <w:bottom w:val="nil"/>
              <w:right w:val="nil"/>
            </w:tcBorders>
            <w:shd w:val="clear" w:color="auto" w:fill="auto"/>
            <w:noWrap/>
            <w:vAlign w:val="bottom"/>
            <w:hideMark/>
          </w:tcPr>
          <w:p w14:paraId="1BF75B8C" w14:textId="77777777" w:rsidR="00AD66A6" w:rsidRPr="00325F25" w:rsidRDefault="00AD66A6" w:rsidP="0038698C">
            <w:pPr>
              <w:rPr>
                <w:rFonts w:eastAsia="Times New Roman" w:cs="Arial"/>
                <w:sz w:val="12"/>
                <w:szCs w:val="12"/>
                <w:lang w:val="es-ES_tradnl"/>
              </w:rPr>
            </w:pPr>
          </w:p>
        </w:tc>
        <w:tc>
          <w:tcPr>
            <w:tcW w:w="81" w:type="pct"/>
            <w:tcBorders>
              <w:top w:val="nil"/>
              <w:left w:val="nil"/>
              <w:bottom w:val="nil"/>
              <w:right w:val="nil"/>
            </w:tcBorders>
            <w:shd w:val="clear" w:color="auto" w:fill="auto"/>
            <w:noWrap/>
            <w:vAlign w:val="bottom"/>
            <w:hideMark/>
          </w:tcPr>
          <w:p w14:paraId="7B7FCBB8" w14:textId="77777777" w:rsidR="00AD66A6" w:rsidRPr="00325F25" w:rsidRDefault="00AD66A6" w:rsidP="0038698C">
            <w:pPr>
              <w:rPr>
                <w:rFonts w:eastAsia="Times New Roman" w:cs="Arial"/>
                <w:sz w:val="12"/>
                <w:szCs w:val="12"/>
                <w:lang w:val="es-ES_tradnl"/>
              </w:rPr>
            </w:pPr>
          </w:p>
        </w:tc>
        <w:tc>
          <w:tcPr>
            <w:tcW w:w="369" w:type="pct"/>
            <w:tcBorders>
              <w:top w:val="nil"/>
              <w:left w:val="nil"/>
              <w:bottom w:val="nil"/>
              <w:right w:val="nil"/>
            </w:tcBorders>
            <w:shd w:val="clear" w:color="auto" w:fill="auto"/>
            <w:noWrap/>
            <w:vAlign w:val="bottom"/>
            <w:hideMark/>
          </w:tcPr>
          <w:p w14:paraId="70B74515" w14:textId="77777777" w:rsidR="00AD66A6" w:rsidRPr="00325F25" w:rsidRDefault="00AD66A6" w:rsidP="0038698C">
            <w:pPr>
              <w:rPr>
                <w:rFonts w:eastAsia="Times New Roman" w:cs="Arial"/>
                <w:sz w:val="12"/>
                <w:szCs w:val="12"/>
                <w:lang w:val="es-ES_tradnl"/>
              </w:rPr>
            </w:pPr>
          </w:p>
        </w:tc>
        <w:tc>
          <w:tcPr>
            <w:tcW w:w="359" w:type="pct"/>
            <w:tcBorders>
              <w:top w:val="nil"/>
              <w:left w:val="nil"/>
              <w:bottom w:val="nil"/>
              <w:right w:val="nil"/>
            </w:tcBorders>
            <w:shd w:val="clear" w:color="auto" w:fill="auto"/>
            <w:noWrap/>
            <w:vAlign w:val="bottom"/>
            <w:hideMark/>
          </w:tcPr>
          <w:p w14:paraId="41E21E8E" w14:textId="77777777" w:rsidR="00AD66A6" w:rsidRPr="00325F25" w:rsidRDefault="00AD66A6" w:rsidP="0038698C">
            <w:pPr>
              <w:rPr>
                <w:rFonts w:eastAsia="Times New Roman" w:cs="Arial"/>
                <w:sz w:val="12"/>
                <w:szCs w:val="12"/>
                <w:lang w:val="es-ES_tradnl"/>
              </w:rPr>
            </w:pPr>
          </w:p>
        </w:tc>
        <w:tc>
          <w:tcPr>
            <w:tcW w:w="366" w:type="pct"/>
            <w:tcBorders>
              <w:top w:val="nil"/>
              <w:left w:val="nil"/>
              <w:bottom w:val="nil"/>
              <w:right w:val="nil"/>
            </w:tcBorders>
            <w:shd w:val="clear" w:color="auto" w:fill="auto"/>
            <w:noWrap/>
            <w:vAlign w:val="bottom"/>
            <w:hideMark/>
          </w:tcPr>
          <w:p w14:paraId="1ABB0508" w14:textId="77777777" w:rsidR="00AD66A6" w:rsidRPr="00325F25" w:rsidRDefault="00AD66A6" w:rsidP="0038698C">
            <w:pPr>
              <w:rPr>
                <w:rFonts w:eastAsia="Times New Roman" w:cs="Arial"/>
                <w:sz w:val="12"/>
                <w:szCs w:val="12"/>
                <w:lang w:val="es-ES_tradnl"/>
              </w:rPr>
            </w:pPr>
          </w:p>
        </w:tc>
      </w:tr>
      <w:tr w:rsidR="00AD66A6" w:rsidRPr="00793836" w14:paraId="4836AE72" w14:textId="77777777" w:rsidTr="00AD66A6">
        <w:trPr>
          <w:trHeight w:val="198"/>
        </w:trPr>
        <w:tc>
          <w:tcPr>
            <w:tcW w:w="1182" w:type="pct"/>
            <w:tcBorders>
              <w:top w:val="double" w:sz="6" w:space="0" w:color="auto"/>
              <w:left w:val="double" w:sz="6" w:space="0" w:color="auto"/>
              <w:bottom w:val="dotted" w:sz="4" w:space="0" w:color="auto"/>
              <w:right w:val="dotted" w:sz="4" w:space="0" w:color="auto"/>
            </w:tcBorders>
            <w:shd w:val="clear" w:color="auto" w:fill="auto"/>
            <w:noWrap/>
            <w:vAlign w:val="bottom"/>
            <w:hideMark/>
          </w:tcPr>
          <w:p w14:paraId="49AE9DF4" w14:textId="77777777" w:rsidR="00AD66A6" w:rsidRPr="00325F25" w:rsidRDefault="00AD66A6" w:rsidP="0038698C">
            <w:pPr>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1351" w:type="pct"/>
            <w:gridSpan w:val="4"/>
            <w:tcBorders>
              <w:top w:val="double" w:sz="6" w:space="0" w:color="auto"/>
              <w:left w:val="nil"/>
              <w:bottom w:val="dotted" w:sz="4" w:space="0" w:color="auto"/>
              <w:right w:val="single" w:sz="8" w:space="0" w:color="000000"/>
            </w:tcBorders>
            <w:shd w:val="clear" w:color="auto" w:fill="auto"/>
            <w:vAlign w:val="center"/>
            <w:hideMark/>
          </w:tcPr>
          <w:p w14:paraId="4AEE823D" w14:textId="77777777" w:rsidR="00AD66A6" w:rsidRPr="007239BE" w:rsidRDefault="00AD66A6" w:rsidP="0038698C">
            <w:pPr>
              <w:jc w:val="center"/>
              <w:rPr>
                <w:rFonts w:eastAsia="Times New Roman" w:cs="Arial"/>
                <w:b/>
                <w:bCs/>
                <w:color w:val="000000"/>
                <w:sz w:val="12"/>
                <w:szCs w:val="12"/>
                <w:lang w:val="es-ES_tradnl"/>
              </w:rPr>
            </w:pPr>
            <w:r w:rsidRPr="007239BE">
              <w:rPr>
                <w:rFonts w:eastAsia="Times New Roman" w:cs="Arial"/>
                <w:b/>
                <w:bCs/>
                <w:color w:val="000000"/>
                <w:sz w:val="12"/>
                <w:szCs w:val="12"/>
                <w:lang w:val="es-ES_tradnl"/>
              </w:rPr>
              <w:t xml:space="preserve">Período en curso </w:t>
            </w:r>
          </w:p>
        </w:tc>
        <w:tc>
          <w:tcPr>
            <w:tcW w:w="1291" w:type="pct"/>
            <w:gridSpan w:val="4"/>
            <w:tcBorders>
              <w:top w:val="double" w:sz="6" w:space="0" w:color="auto"/>
              <w:left w:val="nil"/>
              <w:bottom w:val="dotted" w:sz="4" w:space="0" w:color="auto"/>
              <w:right w:val="double" w:sz="6" w:space="0" w:color="000000"/>
            </w:tcBorders>
            <w:shd w:val="clear" w:color="auto" w:fill="auto"/>
            <w:vAlign w:val="center"/>
            <w:hideMark/>
          </w:tcPr>
          <w:p w14:paraId="3B074DE1" w14:textId="77777777" w:rsidR="00AD66A6" w:rsidRPr="007239BE" w:rsidRDefault="00AD66A6" w:rsidP="0038698C">
            <w:pPr>
              <w:jc w:val="center"/>
              <w:rPr>
                <w:rFonts w:eastAsia="Times New Roman" w:cs="Arial"/>
                <w:b/>
                <w:bCs/>
                <w:color w:val="000000"/>
                <w:sz w:val="12"/>
                <w:szCs w:val="12"/>
                <w:lang w:val="es-ES_tradnl"/>
              </w:rPr>
            </w:pPr>
            <w:r w:rsidRPr="007239BE">
              <w:rPr>
                <w:rFonts w:eastAsia="Times New Roman" w:cs="Arial"/>
                <w:b/>
                <w:bCs/>
                <w:color w:val="000000"/>
                <w:sz w:val="12"/>
                <w:szCs w:val="12"/>
                <w:lang w:val="es-ES_tradnl"/>
              </w:rPr>
              <w:t>Período acumulativo</w:t>
            </w:r>
          </w:p>
        </w:tc>
        <w:tc>
          <w:tcPr>
            <w:tcW w:w="81" w:type="pct"/>
            <w:tcBorders>
              <w:top w:val="nil"/>
              <w:left w:val="nil"/>
              <w:bottom w:val="nil"/>
              <w:right w:val="nil"/>
            </w:tcBorders>
            <w:shd w:val="clear" w:color="auto" w:fill="auto"/>
            <w:noWrap/>
            <w:vAlign w:val="bottom"/>
            <w:hideMark/>
          </w:tcPr>
          <w:p w14:paraId="224383E9" w14:textId="77777777" w:rsidR="00AD66A6" w:rsidRPr="00793836" w:rsidRDefault="00AD66A6" w:rsidP="0038698C">
            <w:pPr>
              <w:jc w:val="center"/>
              <w:rPr>
                <w:rFonts w:eastAsia="Times New Roman" w:cs="Arial"/>
                <w:b/>
                <w:bCs/>
                <w:color w:val="000000"/>
                <w:sz w:val="12"/>
                <w:szCs w:val="12"/>
              </w:rPr>
            </w:pPr>
          </w:p>
        </w:tc>
        <w:tc>
          <w:tcPr>
            <w:tcW w:w="729" w:type="pct"/>
            <w:gridSpan w:val="2"/>
            <w:tcBorders>
              <w:top w:val="double" w:sz="6" w:space="0" w:color="auto"/>
              <w:left w:val="double" w:sz="6" w:space="0" w:color="auto"/>
              <w:bottom w:val="dotted" w:sz="4" w:space="0" w:color="auto"/>
              <w:right w:val="dotted" w:sz="4" w:space="0" w:color="auto"/>
            </w:tcBorders>
            <w:shd w:val="clear" w:color="auto" w:fill="auto"/>
            <w:vAlign w:val="center"/>
            <w:hideMark/>
          </w:tcPr>
          <w:p w14:paraId="13284CF3" w14:textId="77777777" w:rsidR="00AD66A6" w:rsidRPr="008A20DF" w:rsidRDefault="00AD66A6" w:rsidP="0038698C">
            <w:pPr>
              <w:jc w:val="center"/>
              <w:rPr>
                <w:rFonts w:eastAsia="Times New Roman" w:cs="Arial"/>
                <w:b/>
                <w:bCs/>
                <w:color w:val="000000"/>
                <w:sz w:val="12"/>
                <w:szCs w:val="12"/>
                <w:lang w:val="es-ES_tradnl"/>
              </w:rPr>
            </w:pPr>
            <w:r w:rsidRPr="008A20DF">
              <w:rPr>
                <w:rFonts w:eastAsia="Times New Roman" w:cs="Arial"/>
                <w:b/>
                <w:bCs/>
                <w:color w:val="000000"/>
                <w:sz w:val="12"/>
                <w:szCs w:val="12"/>
                <w:lang w:val="es-ES_tradnl"/>
              </w:rPr>
              <w:t xml:space="preserve">Año anterior </w:t>
            </w:r>
          </w:p>
        </w:tc>
        <w:tc>
          <w:tcPr>
            <w:tcW w:w="366" w:type="pct"/>
            <w:tcBorders>
              <w:top w:val="double" w:sz="6" w:space="0" w:color="auto"/>
              <w:left w:val="nil"/>
              <w:bottom w:val="dotted" w:sz="4" w:space="0" w:color="auto"/>
              <w:right w:val="double" w:sz="6" w:space="0" w:color="auto"/>
            </w:tcBorders>
            <w:shd w:val="clear" w:color="auto" w:fill="auto"/>
            <w:noWrap/>
            <w:vAlign w:val="bottom"/>
            <w:hideMark/>
          </w:tcPr>
          <w:p w14:paraId="0C1CCED0"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r>
      <w:tr w:rsidR="00AD66A6" w:rsidRPr="00793836" w14:paraId="5A9719BB" w14:textId="77777777" w:rsidTr="00AD66A6">
        <w:trPr>
          <w:trHeight w:val="166"/>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74CF1DAF" w14:textId="77777777" w:rsidR="00AD66A6" w:rsidRPr="00125B76" w:rsidRDefault="00AD66A6" w:rsidP="0038698C">
            <w:pPr>
              <w:rPr>
                <w:rFonts w:eastAsia="Times New Roman" w:cs="Arial"/>
                <w:b/>
                <w:bCs/>
                <w:color w:val="000000"/>
                <w:sz w:val="12"/>
                <w:szCs w:val="12"/>
                <w:lang w:val="es-ES_tradnl"/>
              </w:rPr>
            </w:pPr>
            <w:r w:rsidRPr="00125B76">
              <w:rPr>
                <w:rFonts w:eastAsia="Times New Roman" w:cs="Arial"/>
                <w:b/>
                <w:bCs/>
                <w:color w:val="000000"/>
                <w:sz w:val="12"/>
                <w:szCs w:val="12"/>
                <w:lang w:val="es-ES_tradnl"/>
              </w:rPr>
              <w:t> </w:t>
            </w:r>
          </w:p>
        </w:tc>
        <w:tc>
          <w:tcPr>
            <w:tcW w:w="376" w:type="pct"/>
            <w:tcBorders>
              <w:top w:val="nil"/>
              <w:left w:val="nil"/>
              <w:bottom w:val="dotted" w:sz="4" w:space="0" w:color="auto"/>
              <w:right w:val="dotted" w:sz="4" w:space="0" w:color="auto"/>
            </w:tcBorders>
            <w:shd w:val="clear" w:color="auto" w:fill="auto"/>
            <w:vAlign w:val="center"/>
            <w:hideMark/>
          </w:tcPr>
          <w:p w14:paraId="48B2AD59" w14:textId="77777777" w:rsidR="00AD66A6" w:rsidRPr="00454967" w:rsidRDefault="00AD66A6" w:rsidP="0038698C">
            <w:pPr>
              <w:jc w:val="right"/>
              <w:rPr>
                <w:rFonts w:eastAsia="Times New Roman" w:cs="Arial"/>
                <w:b/>
                <w:bCs/>
                <w:color w:val="000000"/>
                <w:sz w:val="12"/>
                <w:szCs w:val="12"/>
                <w:lang w:val="es-ES_tradnl"/>
              </w:rPr>
            </w:pPr>
            <w:r w:rsidRPr="00793836">
              <w:rPr>
                <w:rFonts w:eastAsia="Times New Roman" w:cs="Arial"/>
                <w:b/>
                <w:bCs/>
                <w:color w:val="000000"/>
                <w:sz w:val="12"/>
                <w:szCs w:val="12"/>
              </w:rPr>
              <w:t xml:space="preserve"> </w:t>
            </w:r>
            <w:r w:rsidRPr="00454967">
              <w:rPr>
                <w:rFonts w:eastAsia="Times New Roman" w:cs="Arial"/>
                <w:b/>
                <w:bCs/>
                <w:color w:val="000000"/>
                <w:sz w:val="12"/>
                <w:szCs w:val="12"/>
                <w:lang w:val="es-ES_tradnl"/>
              </w:rPr>
              <w:t xml:space="preserve">Presupuesto </w:t>
            </w:r>
          </w:p>
        </w:tc>
        <w:tc>
          <w:tcPr>
            <w:tcW w:w="329" w:type="pct"/>
            <w:tcBorders>
              <w:top w:val="nil"/>
              <w:left w:val="nil"/>
              <w:bottom w:val="dotted" w:sz="4" w:space="0" w:color="auto"/>
              <w:right w:val="dotted" w:sz="4" w:space="0" w:color="auto"/>
            </w:tcBorders>
            <w:shd w:val="clear" w:color="auto" w:fill="auto"/>
            <w:vAlign w:val="center"/>
            <w:hideMark/>
          </w:tcPr>
          <w:p w14:paraId="09B10308"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 xml:space="preserve"> Actual</w:t>
            </w:r>
          </w:p>
        </w:tc>
        <w:tc>
          <w:tcPr>
            <w:tcW w:w="337" w:type="pct"/>
            <w:tcBorders>
              <w:top w:val="nil"/>
              <w:left w:val="nil"/>
              <w:bottom w:val="dotted" w:sz="4" w:space="0" w:color="auto"/>
              <w:right w:val="dotted" w:sz="4" w:space="0" w:color="auto"/>
            </w:tcBorders>
            <w:shd w:val="clear" w:color="auto" w:fill="auto"/>
            <w:noWrap/>
            <w:vAlign w:val="center"/>
            <w:hideMark/>
          </w:tcPr>
          <w:p w14:paraId="66CDF942" w14:textId="77777777" w:rsidR="00AD66A6" w:rsidRPr="00454967" w:rsidRDefault="00AD66A6" w:rsidP="0038698C">
            <w:pPr>
              <w:jc w:val="right"/>
              <w:rPr>
                <w:rFonts w:eastAsia="Times New Roman" w:cs="Arial"/>
                <w:b/>
                <w:bCs/>
                <w:color w:val="000000"/>
                <w:sz w:val="12"/>
                <w:szCs w:val="12"/>
                <w:lang w:val="es-ES_tradnl"/>
              </w:rPr>
            </w:pPr>
            <w:r w:rsidRPr="00454967">
              <w:rPr>
                <w:rFonts w:eastAsia="Times New Roman" w:cs="Arial"/>
                <w:b/>
                <w:bCs/>
                <w:color w:val="000000"/>
                <w:sz w:val="12"/>
                <w:szCs w:val="12"/>
                <w:lang w:val="es-ES_tradnl"/>
              </w:rPr>
              <w:t>Variación</w:t>
            </w:r>
          </w:p>
        </w:tc>
        <w:tc>
          <w:tcPr>
            <w:tcW w:w="309" w:type="pct"/>
            <w:tcBorders>
              <w:top w:val="dotted" w:sz="4" w:space="0" w:color="auto"/>
              <w:left w:val="dotted" w:sz="4" w:space="0" w:color="auto"/>
              <w:bottom w:val="dotted" w:sz="4" w:space="0" w:color="auto"/>
              <w:right w:val="single" w:sz="8" w:space="0" w:color="auto"/>
            </w:tcBorders>
            <w:shd w:val="clear" w:color="auto" w:fill="auto"/>
            <w:vAlign w:val="center"/>
            <w:hideMark/>
          </w:tcPr>
          <w:p w14:paraId="06E05164" w14:textId="77777777" w:rsidR="00AD66A6" w:rsidRPr="007239BE" w:rsidRDefault="00AD66A6" w:rsidP="0038698C">
            <w:pPr>
              <w:jc w:val="center"/>
              <w:rPr>
                <w:rFonts w:eastAsia="Times New Roman" w:cs="Arial"/>
                <w:b/>
                <w:bCs/>
                <w:color w:val="000000"/>
                <w:sz w:val="12"/>
                <w:szCs w:val="12"/>
                <w:lang w:val="es-ES_tradnl"/>
              </w:rPr>
            </w:pPr>
            <w:r w:rsidRPr="007239BE">
              <w:rPr>
                <w:rFonts w:eastAsia="Times New Roman" w:cs="Arial"/>
                <w:b/>
                <w:bCs/>
                <w:color w:val="000000"/>
                <w:sz w:val="12"/>
                <w:szCs w:val="12"/>
                <w:lang w:val="es-ES_tradnl"/>
              </w:rPr>
              <w:t xml:space="preserve">Compromisos </w:t>
            </w:r>
          </w:p>
        </w:tc>
        <w:tc>
          <w:tcPr>
            <w:tcW w:w="388" w:type="pct"/>
            <w:tcBorders>
              <w:top w:val="nil"/>
              <w:left w:val="nil"/>
              <w:bottom w:val="dotted" w:sz="4" w:space="0" w:color="auto"/>
              <w:right w:val="dotted" w:sz="4" w:space="0" w:color="auto"/>
            </w:tcBorders>
            <w:shd w:val="clear" w:color="auto" w:fill="auto"/>
            <w:noWrap/>
            <w:vAlign w:val="center"/>
            <w:hideMark/>
          </w:tcPr>
          <w:p w14:paraId="669F18D5" w14:textId="77777777" w:rsidR="00AD66A6" w:rsidRPr="007239BE" w:rsidRDefault="00AD66A6" w:rsidP="0038698C">
            <w:pPr>
              <w:rPr>
                <w:rFonts w:eastAsia="Times New Roman" w:cs="Arial"/>
                <w:b/>
                <w:bCs/>
                <w:color w:val="000000"/>
                <w:sz w:val="12"/>
                <w:szCs w:val="12"/>
                <w:lang w:val="es-ES_tradnl"/>
              </w:rPr>
            </w:pPr>
            <w:r w:rsidRPr="007239BE">
              <w:rPr>
                <w:rFonts w:eastAsia="Times New Roman" w:cs="Arial"/>
                <w:b/>
                <w:bCs/>
                <w:color w:val="000000"/>
                <w:sz w:val="12"/>
                <w:szCs w:val="12"/>
                <w:lang w:val="es-ES_tradnl"/>
              </w:rPr>
              <w:t>Presupuesto</w:t>
            </w:r>
          </w:p>
        </w:tc>
        <w:tc>
          <w:tcPr>
            <w:tcW w:w="369" w:type="pct"/>
            <w:tcBorders>
              <w:top w:val="nil"/>
              <w:left w:val="nil"/>
              <w:bottom w:val="dotted" w:sz="4" w:space="0" w:color="auto"/>
              <w:right w:val="dotted" w:sz="4" w:space="0" w:color="auto"/>
            </w:tcBorders>
            <w:shd w:val="clear" w:color="auto" w:fill="auto"/>
            <w:vAlign w:val="center"/>
            <w:hideMark/>
          </w:tcPr>
          <w:p w14:paraId="0088835E"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Actual</w:t>
            </w:r>
          </w:p>
        </w:tc>
        <w:tc>
          <w:tcPr>
            <w:tcW w:w="359" w:type="pct"/>
            <w:tcBorders>
              <w:top w:val="nil"/>
              <w:left w:val="nil"/>
              <w:bottom w:val="dotted" w:sz="4" w:space="0" w:color="auto"/>
              <w:right w:val="dotted" w:sz="4" w:space="0" w:color="auto"/>
            </w:tcBorders>
            <w:shd w:val="clear" w:color="auto" w:fill="auto"/>
            <w:vAlign w:val="center"/>
            <w:hideMark/>
          </w:tcPr>
          <w:p w14:paraId="1024546A" w14:textId="77777777" w:rsidR="00AD66A6" w:rsidRPr="007239BE" w:rsidRDefault="00AD66A6" w:rsidP="0038698C">
            <w:pPr>
              <w:jc w:val="right"/>
              <w:rPr>
                <w:rFonts w:eastAsia="Times New Roman" w:cs="Arial"/>
                <w:b/>
                <w:bCs/>
                <w:color w:val="000000"/>
                <w:sz w:val="12"/>
                <w:szCs w:val="12"/>
                <w:lang w:val="es-ES_tradnl"/>
              </w:rPr>
            </w:pPr>
            <w:r w:rsidRPr="007239BE">
              <w:rPr>
                <w:rFonts w:eastAsia="Times New Roman" w:cs="Arial"/>
                <w:b/>
                <w:bCs/>
                <w:color w:val="000000"/>
                <w:sz w:val="12"/>
                <w:szCs w:val="12"/>
                <w:lang w:val="es-ES_tradnl"/>
              </w:rPr>
              <w:t>Variación</w:t>
            </w:r>
          </w:p>
        </w:tc>
        <w:tc>
          <w:tcPr>
            <w:tcW w:w="174" w:type="pct"/>
            <w:tcBorders>
              <w:top w:val="nil"/>
              <w:left w:val="nil"/>
              <w:bottom w:val="dotted" w:sz="4" w:space="0" w:color="auto"/>
              <w:right w:val="double" w:sz="6" w:space="0" w:color="auto"/>
            </w:tcBorders>
            <w:shd w:val="clear" w:color="auto" w:fill="auto"/>
            <w:vAlign w:val="center"/>
            <w:hideMark/>
          </w:tcPr>
          <w:p w14:paraId="5CC720E0" w14:textId="77777777" w:rsidR="00AD66A6" w:rsidRPr="007239BE" w:rsidRDefault="00AD66A6" w:rsidP="0038698C">
            <w:pPr>
              <w:jc w:val="right"/>
              <w:rPr>
                <w:rFonts w:eastAsia="Times New Roman" w:cs="Arial"/>
                <w:b/>
                <w:bCs/>
                <w:color w:val="000000"/>
                <w:sz w:val="12"/>
                <w:szCs w:val="12"/>
                <w:lang w:val="es-ES_tradnl"/>
              </w:rPr>
            </w:pPr>
            <w:r w:rsidRPr="007239BE">
              <w:rPr>
                <w:rFonts w:eastAsia="Times New Roman" w:cs="Arial"/>
                <w:b/>
                <w:bCs/>
                <w:color w:val="000000"/>
                <w:sz w:val="12"/>
                <w:szCs w:val="12"/>
                <w:lang w:val="es-ES_tradnl"/>
              </w:rPr>
              <w:t>Notas</w:t>
            </w:r>
          </w:p>
        </w:tc>
        <w:tc>
          <w:tcPr>
            <w:tcW w:w="81" w:type="pct"/>
            <w:tcBorders>
              <w:top w:val="nil"/>
              <w:left w:val="nil"/>
              <w:bottom w:val="nil"/>
              <w:right w:val="nil"/>
            </w:tcBorders>
            <w:shd w:val="clear" w:color="auto" w:fill="auto"/>
            <w:noWrap/>
            <w:vAlign w:val="bottom"/>
            <w:hideMark/>
          </w:tcPr>
          <w:p w14:paraId="5E4529D2" w14:textId="77777777" w:rsidR="00AD66A6" w:rsidRPr="00793836" w:rsidRDefault="00AD66A6" w:rsidP="0038698C">
            <w:pPr>
              <w:jc w:val="right"/>
              <w:rPr>
                <w:rFonts w:eastAsia="Times New Roman" w:cs="Arial"/>
                <w:b/>
                <w:bCs/>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vAlign w:val="center"/>
            <w:hideMark/>
          </w:tcPr>
          <w:p w14:paraId="1E6249CA" w14:textId="77777777" w:rsidR="00AD66A6" w:rsidRPr="008A20DF" w:rsidRDefault="00AD66A6" w:rsidP="0038698C">
            <w:pPr>
              <w:jc w:val="right"/>
              <w:rPr>
                <w:rFonts w:eastAsia="Times New Roman" w:cs="Arial"/>
                <w:b/>
                <w:bCs/>
                <w:color w:val="000000"/>
                <w:sz w:val="12"/>
                <w:szCs w:val="12"/>
                <w:lang w:val="es-ES_tradnl"/>
              </w:rPr>
            </w:pPr>
            <w:r w:rsidRPr="008A20DF">
              <w:rPr>
                <w:rFonts w:eastAsia="Times New Roman" w:cs="Arial"/>
                <w:b/>
                <w:bCs/>
                <w:color w:val="000000"/>
                <w:sz w:val="12"/>
                <w:szCs w:val="12"/>
                <w:lang w:val="es-ES_tradnl"/>
              </w:rPr>
              <w:t>Presupuesto</w:t>
            </w:r>
          </w:p>
        </w:tc>
        <w:tc>
          <w:tcPr>
            <w:tcW w:w="359" w:type="pct"/>
            <w:tcBorders>
              <w:top w:val="nil"/>
              <w:left w:val="nil"/>
              <w:bottom w:val="dotted" w:sz="4" w:space="0" w:color="auto"/>
              <w:right w:val="dotted" w:sz="4" w:space="0" w:color="auto"/>
            </w:tcBorders>
            <w:shd w:val="clear" w:color="auto" w:fill="auto"/>
            <w:vAlign w:val="center"/>
            <w:hideMark/>
          </w:tcPr>
          <w:p w14:paraId="3BB57E75"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Actual</w:t>
            </w:r>
          </w:p>
        </w:tc>
        <w:tc>
          <w:tcPr>
            <w:tcW w:w="366" w:type="pct"/>
            <w:tcBorders>
              <w:top w:val="nil"/>
              <w:left w:val="nil"/>
              <w:bottom w:val="dotted" w:sz="4" w:space="0" w:color="auto"/>
              <w:right w:val="double" w:sz="6" w:space="0" w:color="auto"/>
            </w:tcBorders>
            <w:shd w:val="clear" w:color="auto" w:fill="auto"/>
            <w:vAlign w:val="center"/>
            <w:hideMark/>
          </w:tcPr>
          <w:p w14:paraId="3CC1318F" w14:textId="77777777" w:rsidR="00AD66A6" w:rsidRPr="008A20DF" w:rsidRDefault="00AD66A6" w:rsidP="0038698C">
            <w:pPr>
              <w:jc w:val="right"/>
              <w:rPr>
                <w:rFonts w:eastAsia="Times New Roman" w:cs="Arial"/>
                <w:b/>
                <w:bCs/>
                <w:color w:val="000000"/>
                <w:sz w:val="12"/>
                <w:szCs w:val="12"/>
                <w:lang w:val="es-ES_tradnl"/>
              </w:rPr>
            </w:pPr>
            <w:r w:rsidRPr="008A20DF">
              <w:rPr>
                <w:rFonts w:eastAsia="Times New Roman" w:cs="Arial"/>
                <w:b/>
                <w:bCs/>
                <w:color w:val="000000"/>
                <w:sz w:val="12"/>
                <w:szCs w:val="12"/>
                <w:lang w:val="es-ES_tradnl"/>
              </w:rPr>
              <w:t>Variación</w:t>
            </w:r>
          </w:p>
        </w:tc>
      </w:tr>
      <w:tr w:rsidR="00AD66A6" w:rsidRPr="009842F5" w14:paraId="6AF86ACA" w14:textId="77777777" w:rsidTr="00AD66A6">
        <w:trPr>
          <w:trHeight w:val="85"/>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71C31284" w14:textId="77777777" w:rsidR="00AD66A6" w:rsidRPr="00125B76" w:rsidRDefault="00AD66A6" w:rsidP="0038698C">
            <w:pPr>
              <w:jc w:val="both"/>
              <w:rPr>
                <w:rFonts w:eastAsia="Times New Roman" w:cs="Arial"/>
                <w:b/>
                <w:bCs/>
                <w:color w:val="000000"/>
                <w:sz w:val="12"/>
                <w:szCs w:val="12"/>
                <w:lang w:val="es-ES_tradnl"/>
              </w:rPr>
            </w:pPr>
            <w:r w:rsidRPr="00125B76">
              <w:rPr>
                <w:rFonts w:eastAsia="Times New Roman" w:cs="Arial"/>
                <w:b/>
                <w:bCs/>
                <w:color w:val="000000"/>
                <w:sz w:val="12"/>
                <w:szCs w:val="12"/>
                <w:lang w:val="es-ES_tradnl"/>
              </w:rPr>
              <w:t xml:space="preserve">Fuentes de los fondo de subvención </w:t>
            </w:r>
          </w:p>
        </w:tc>
        <w:tc>
          <w:tcPr>
            <w:tcW w:w="376" w:type="pct"/>
            <w:tcBorders>
              <w:top w:val="nil"/>
              <w:left w:val="nil"/>
              <w:bottom w:val="dotted" w:sz="4" w:space="0" w:color="auto"/>
              <w:right w:val="dotted" w:sz="4" w:space="0" w:color="auto"/>
            </w:tcBorders>
            <w:shd w:val="clear" w:color="auto" w:fill="auto"/>
            <w:vAlign w:val="center"/>
            <w:hideMark/>
          </w:tcPr>
          <w:p w14:paraId="63AA4E42"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29" w:type="pct"/>
            <w:tcBorders>
              <w:top w:val="nil"/>
              <w:left w:val="nil"/>
              <w:bottom w:val="dotted" w:sz="4" w:space="0" w:color="auto"/>
              <w:right w:val="dotted" w:sz="4" w:space="0" w:color="auto"/>
            </w:tcBorders>
            <w:shd w:val="clear" w:color="auto" w:fill="auto"/>
            <w:vAlign w:val="center"/>
            <w:hideMark/>
          </w:tcPr>
          <w:p w14:paraId="17892101"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37" w:type="pct"/>
            <w:tcBorders>
              <w:top w:val="nil"/>
              <w:left w:val="nil"/>
              <w:bottom w:val="dotted" w:sz="4" w:space="0" w:color="auto"/>
              <w:right w:val="dotted" w:sz="4" w:space="0" w:color="auto"/>
            </w:tcBorders>
            <w:shd w:val="clear" w:color="auto" w:fill="auto"/>
            <w:noWrap/>
            <w:vAlign w:val="center"/>
            <w:hideMark/>
          </w:tcPr>
          <w:p w14:paraId="02C3F3D7"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326E35BB" w14:textId="77777777" w:rsidR="00AD66A6" w:rsidRPr="00325F25" w:rsidRDefault="00AD66A6" w:rsidP="0038698C">
            <w:pPr>
              <w:jc w:val="center"/>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88" w:type="pct"/>
            <w:tcBorders>
              <w:top w:val="nil"/>
              <w:left w:val="nil"/>
              <w:bottom w:val="dotted" w:sz="4" w:space="0" w:color="auto"/>
              <w:right w:val="dotted" w:sz="4" w:space="0" w:color="auto"/>
            </w:tcBorders>
            <w:shd w:val="clear" w:color="auto" w:fill="auto"/>
            <w:noWrap/>
            <w:vAlign w:val="center"/>
            <w:hideMark/>
          </w:tcPr>
          <w:p w14:paraId="49100A5F" w14:textId="77777777" w:rsidR="00AD66A6" w:rsidRPr="00325F25" w:rsidRDefault="00AD66A6" w:rsidP="0038698C">
            <w:pPr>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69" w:type="pct"/>
            <w:tcBorders>
              <w:top w:val="nil"/>
              <w:left w:val="nil"/>
              <w:bottom w:val="dotted" w:sz="4" w:space="0" w:color="auto"/>
              <w:right w:val="dotted" w:sz="4" w:space="0" w:color="auto"/>
            </w:tcBorders>
            <w:shd w:val="clear" w:color="auto" w:fill="auto"/>
            <w:vAlign w:val="center"/>
            <w:hideMark/>
          </w:tcPr>
          <w:p w14:paraId="076ABB47"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59" w:type="pct"/>
            <w:tcBorders>
              <w:top w:val="nil"/>
              <w:left w:val="nil"/>
              <w:bottom w:val="dotted" w:sz="4" w:space="0" w:color="auto"/>
              <w:right w:val="dotted" w:sz="4" w:space="0" w:color="auto"/>
            </w:tcBorders>
            <w:shd w:val="clear" w:color="auto" w:fill="auto"/>
            <w:vAlign w:val="center"/>
            <w:hideMark/>
          </w:tcPr>
          <w:p w14:paraId="249F4153"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174" w:type="pct"/>
            <w:tcBorders>
              <w:top w:val="nil"/>
              <w:left w:val="nil"/>
              <w:bottom w:val="dotted" w:sz="4" w:space="0" w:color="auto"/>
              <w:right w:val="double" w:sz="6" w:space="0" w:color="auto"/>
            </w:tcBorders>
            <w:shd w:val="clear" w:color="auto" w:fill="auto"/>
            <w:vAlign w:val="center"/>
            <w:hideMark/>
          </w:tcPr>
          <w:p w14:paraId="0C99DF47"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81" w:type="pct"/>
            <w:tcBorders>
              <w:top w:val="nil"/>
              <w:left w:val="nil"/>
              <w:bottom w:val="nil"/>
              <w:right w:val="nil"/>
            </w:tcBorders>
            <w:shd w:val="clear" w:color="auto" w:fill="auto"/>
            <w:noWrap/>
            <w:vAlign w:val="bottom"/>
            <w:hideMark/>
          </w:tcPr>
          <w:p w14:paraId="06175D45" w14:textId="77777777" w:rsidR="00AD66A6" w:rsidRPr="00325F25" w:rsidRDefault="00AD66A6" w:rsidP="0038698C">
            <w:pPr>
              <w:jc w:val="right"/>
              <w:rPr>
                <w:rFonts w:eastAsia="Times New Roman" w:cs="Arial"/>
                <w:b/>
                <w:bCs/>
                <w:color w:val="000000"/>
                <w:sz w:val="12"/>
                <w:szCs w:val="12"/>
                <w:lang w:val="es-ES_tradnl"/>
              </w:rPr>
            </w:pPr>
          </w:p>
        </w:tc>
        <w:tc>
          <w:tcPr>
            <w:tcW w:w="369" w:type="pct"/>
            <w:tcBorders>
              <w:top w:val="nil"/>
              <w:left w:val="double" w:sz="6" w:space="0" w:color="auto"/>
              <w:bottom w:val="dotted" w:sz="4" w:space="0" w:color="auto"/>
              <w:right w:val="dotted" w:sz="4" w:space="0" w:color="auto"/>
            </w:tcBorders>
            <w:shd w:val="clear" w:color="auto" w:fill="auto"/>
            <w:vAlign w:val="center"/>
            <w:hideMark/>
          </w:tcPr>
          <w:p w14:paraId="4961D591"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59" w:type="pct"/>
            <w:tcBorders>
              <w:top w:val="nil"/>
              <w:left w:val="nil"/>
              <w:bottom w:val="dotted" w:sz="4" w:space="0" w:color="auto"/>
              <w:right w:val="dotted" w:sz="4" w:space="0" w:color="auto"/>
            </w:tcBorders>
            <w:shd w:val="clear" w:color="auto" w:fill="auto"/>
            <w:vAlign w:val="center"/>
            <w:hideMark/>
          </w:tcPr>
          <w:p w14:paraId="494AE9AD"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66" w:type="pct"/>
            <w:tcBorders>
              <w:top w:val="nil"/>
              <w:left w:val="nil"/>
              <w:bottom w:val="dotted" w:sz="4" w:space="0" w:color="auto"/>
              <w:right w:val="double" w:sz="6" w:space="0" w:color="auto"/>
            </w:tcBorders>
            <w:shd w:val="clear" w:color="auto" w:fill="auto"/>
            <w:vAlign w:val="center"/>
            <w:hideMark/>
          </w:tcPr>
          <w:p w14:paraId="59F36F0F"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r>
      <w:tr w:rsidR="00AD66A6" w:rsidRPr="00793836" w14:paraId="4C198FB1" w14:textId="77777777" w:rsidTr="00AD66A6">
        <w:trPr>
          <w:trHeight w:val="245"/>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5725A724" w14:textId="77777777" w:rsidR="00AD66A6" w:rsidRPr="00125B76" w:rsidRDefault="00AD66A6" w:rsidP="0038698C">
            <w:pPr>
              <w:jc w:val="both"/>
              <w:rPr>
                <w:rFonts w:eastAsia="Times New Roman" w:cs="Arial"/>
                <w:color w:val="000000"/>
                <w:sz w:val="12"/>
                <w:szCs w:val="12"/>
                <w:lang w:val="es-ES_tradnl"/>
              </w:rPr>
            </w:pPr>
            <w:r w:rsidRPr="00125B76">
              <w:rPr>
                <w:rFonts w:eastAsia="Times New Roman" w:cs="Arial"/>
                <w:color w:val="000000"/>
                <w:sz w:val="12"/>
                <w:szCs w:val="12"/>
                <w:lang w:val="es-ES_tradnl"/>
              </w:rPr>
              <w:t xml:space="preserve">Saldo de caja inicial </w:t>
            </w:r>
          </w:p>
        </w:tc>
        <w:tc>
          <w:tcPr>
            <w:tcW w:w="376" w:type="pct"/>
            <w:tcBorders>
              <w:top w:val="nil"/>
              <w:left w:val="nil"/>
              <w:bottom w:val="dotted" w:sz="4" w:space="0" w:color="auto"/>
              <w:right w:val="dotted" w:sz="4" w:space="0" w:color="auto"/>
            </w:tcBorders>
            <w:shd w:val="clear" w:color="auto" w:fill="auto"/>
            <w:vAlign w:val="center"/>
            <w:hideMark/>
          </w:tcPr>
          <w:p w14:paraId="5A89EF50"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29" w:type="pct"/>
            <w:tcBorders>
              <w:top w:val="nil"/>
              <w:left w:val="nil"/>
              <w:bottom w:val="dotted" w:sz="4" w:space="0" w:color="auto"/>
              <w:right w:val="dotted" w:sz="4" w:space="0" w:color="auto"/>
            </w:tcBorders>
            <w:shd w:val="clear" w:color="auto" w:fill="auto"/>
            <w:vAlign w:val="center"/>
            <w:hideMark/>
          </w:tcPr>
          <w:p w14:paraId="78AEA4B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1.382.</w:t>
            </w:r>
            <w:r w:rsidRPr="00793836">
              <w:rPr>
                <w:rFonts w:eastAsia="Times New Roman" w:cs="Arial"/>
                <w:color w:val="000000"/>
                <w:sz w:val="12"/>
                <w:szCs w:val="12"/>
              </w:rPr>
              <w:t xml:space="preserve">089 </w:t>
            </w:r>
          </w:p>
        </w:tc>
        <w:tc>
          <w:tcPr>
            <w:tcW w:w="337" w:type="pct"/>
            <w:tcBorders>
              <w:top w:val="nil"/>
              <w:left w:val="nil"/>
              <w:bottom w:val="dotted" w:sz="4" w:space="0" w:color="auto"/>
              <w:right w:val="dotted" w:sz="4" w:space="0" w:color="auto"/>
            </w:tcBorders>
            <w:shd w:val="clear" w:color="auto" w:fill="auto"/>
            <w:vAlign w:val="center"/>
            <w:hideMark/>
          </w:tcPr>
          <w:p w14:paraId="5EF27D8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17C5F3DE"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nil"/>
              <w:bottom w:val="dotted" w:sz="4" w:space="0" w:color="auto"/>
              <w:right w:val="dotted" w:sz="4" w:space="0" w:color="auto"/>
            </w:tcBorders>
            <w:shd w:val="clear" w:color="auto" w:fill="auto"/>
            <w:vAlign w:val="center"/>
            <w:hideMark/>
          </w:tcPr>
          <w:p w14:paraId="202946FE"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9" w:type="pct"/>
            <w:tcBorders>
              <w:top w:val="nil"/>
              <w:left w:val="nil"/>
              <w:bottom w:val="dotted" w:sz="4" w:space="0" w:color="auto"/>
              <w:right w:val="dotted" w:sz="4" w:space="0" w:color="auto"/>
            </w:tcBorders>
            <w:shd w:val="clear" w:color="auto" w:fill="auto"/>
            <w:noWrap/>
            <w:vAlign w:val="bottom"/>
            <w:hideMark/>
          </w:tcPr>
          <w:p w14:paraId="6A9552B7"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bottom"/>
            <w:hideMark/>
          </w:tcPr>
          <w:p w14:paraId="7D932B84"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174" w:type="pct"/>
            <w:tcBorders>
              <w:top w:val="nil"/>
              <w:left w:val="nil"/>
              <w:bottom w:val="dotted" w:sz="4" w:space="0" w:color="auto"/>
              <w:right w:val="double" w:sz="6" w:space="0" w:color="auto"/>
            </w:tcBorders>
            <w:shd w:val="clear" w:color="auto" w:fill="auto"/>
            <w:noWrap/>
            <w:vAlign w:val="bottom"/>
            <w:hideMark/>
          </w:tcPr>
          <w:p w14:paraId="11F95C85"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65F0DA5"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bottom"/>
            <w:hideMark/>
          </w:tcPr>
          <w:p w14:paraId="279B36AE"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bottom"/>
            <w:hideMark/>
          </w:tcPr>
          <w:p w14:paraId="088D6C7C"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66" w:type="pct"/>
            <w:tcBorders>
              <w:top w:val="nil"/>
              <w:left w:val="nil"/>
              <w:bottom w:val="dotted" w:sz="4" w:space="0" w:color="auto"/>
              <w:right w:val="double" w:sz="6" w:space="0" w:color="auto"/>
            </w:tcBorders>
            <w:shd w:val="clear" w:color="auto" w:fill="auto"/>
            <w:noWrap/>
            <w:vAlign w:val="bottom"/>
            <w:hideMark/>
          </w:tcPr>
          <w:p w14:paraId="34877829"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r>
      <w:tr w:rsidR="00AD66A6" w:rsidRPr="00793836" w14:paraId="3F3F3BA7" w14:textId="77777777" w:rsidTr="00AD66A6">
        <w:trPr>
          <w:trHeight w:val="245"/>
        </w:trPr>
        <w:tc>
          <w:tcPr>
            <w:tcW w:w="1182" w:type="pct"/>
            <w:tcBorders>
              <w:top w:val="nil"/>
              <w:left w:val="double" w:sz="6" w:space="0" w:color="auto"/>
              <w:bottom w:val="dotted" w:sz="4" w:space="0" w:color="auto"/>
              <w:right w:val="dotted" w:sz="4" w:space="0" w:color="auto"/>
            </w:tcBorders>
            <w:shd w:val="clear" w:color="auto" w:fill="auto"/>
            <w:noWrap/>
            <w:vAlign w:val="center"/>
            <w:hideMark/>
          </w:tcPr>
          <w:p w14:paraId="0BAA4821"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Recibos del Fondo Mundial </w:t>
            </w:r>
          </w:p>
        </w:tc>
        <w:tc>
          <w:tcPr>
            <w:tcW w:w="376" w:type="pct"/>
            <w:tcBorders>
              <w:top w:val="nil"/>
              <w:left w:val="nil"/>
              <w:bottom w:val="dotted" w:sz="4" w:space="0" w:color="auto"/>
              <w:right w:val="dotted" w:sz="4" w:space="0" w:color="auto"/>
            </w:tcBorders>
            <w:shd w:val="clear" w:color="auto" w:fill="auto"/>
            <w:vAlign w:val="center"/>
            <w:hideMark/>
          </w:tcPr>
          <w:p w14:paraId="1E9DD0C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38.496.</w:t>
            </w:r>
            <w:r w:rsidRPr="00793836">
              <w:rPr>
                <w:rFonts w:eastAsia="Times New Roman" w:cs="Arial"/>
                <w:color w:val="000000"/>
                <w:sz w:val="12"/>
                <w:szCs w:val="12"/>
              </w:rPr>
              <w:t>894</w:t>
            </w:r>
          </w:p>
        </w:tc>
        <w:tc>
          <w:tcPr>
            <w:tcW w:w="329" w:type="pct"/>
            <w:tcBorders>
              <w:top w:val="nil"/>
              <w:left w:val="nil"/>
              <w:bottom w:val="dotted" w:sz="4" w:space="0" w:color="auto"/>
              <w:right w:val="dotted" w:sz="4" w:space="0" w:color="auto"/>
            </w:tcBorders>
            <w:shd w:val="clear" w:color="auto" w:fill="auto"/>
            <w:vAlign w:val="center"/>
            <w:hideMark/>
          </w:tcPr>
          <w:p w14:paraId="275E9A37"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14.700.</w:t>
            </w:r>
            <w:r w:rsidRPr="00793836">
              <w:rPr>
                <w:rFonts w:eastAsia="Times New Roman" w:cs="Arial"/>
                <w:color w:val="000000"/>
                <w:sz w:val="12"/>
                <w:szCs w:val="12"/>
              </w:rPr>
              <w:t>000</w:t>
            </w:r>
          </w:p>
        </w:tc>
        <w:tc>
          <w:tcPr>
            <w:tcW w:w="337" w:type="pct"/>
            <w:tcBorders>
              <w:top w:val="nil"/>
              <w:left w:val="nil"/>
              <w:bottom w:val="dotted" w:sz="4" w:space="0" w:color="auto"/>
              <w:right w:val="dotted" w:sz="4" w:space="0" w:color="auto"/>
            </w:tcBorders>
            <w:shd w:val="clear" w:color="auto" w:fill="auto"/>
            <w:noWrap/>
            <w:vAlign w:val="center"/>
            <w:hideMark/>
          </w:tcPr>
          <w:p w14:paraId="734EED7E"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23.796.</w:t>
            </w:r>
            <w:r w:rsidRPr="00793836">
              <w:rPr>
                <w:rFonts w:eastAsia="Times New Roman" w:cs="Arial"/>
                <w:color w:val="000000"/>
                <w:sz w:val="12"/>
                <w:szCs w:val="12"/>
              </w:rPr>
              <w:t>894</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35F9FFD9"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w:t>
            </w:r>
          </w:p>
        </w:tc>
        <w:tc>
          <w:tcPr>
            <w:tcW w:w="388" w:type="pct"/>
            <w:tcBorders>
              <w:top w:val="nil"/>
              <w:left w:val="nil"/>
              <w:bottom w:val="dotted" w:sz="4" w:space="0" w:color="auto"/>
              <w:right w:val="dotted" w:sz="4" w:space="0" w:color="auto"/>
            </w:tcBorders>
            <w:shd w:val="clear" w:color="auto" w:fill="auto"/>
            <w:noWrap/>
            <w:vAlign w:val="center"/>
            <w:hideMark/>
          </w:tcPr>
          <w:p w14:paraId="52D8F21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54.396.</w:t>
            </w:r>
            <w:r w:rsidRPr="00793836">
              <w:rPr>
                <w:rFonts w:eastAsia="Times New Roman" w:cs="Arial"/>
                <w:color w:val="000000"/>
                <w:sz w:val="12"/>
                <w:szCs w:val="12"/>
              </w:rPr>
              <w:t>894</w:t>
            </w:r>
          </w:p>
        </w:tc>
        <w:tc>
          <w:tcPr>
            <w:tcW w:w="369" w:type="pct"/>
            <w:tcBorders>
              <w:top w:val="nil"/>
              <w:left w:val="nil"/>
              <w:bottom w:val="dotted" w:sz="4" w:space="0" w:color="auto"/>
              <w:right w:val="dotted" w:sz="4" w:space="0" w:color="auto"/>
            </w:tcBorders>
            <w:shd w:val="clear" w:color="auto" w:fill="auto"/>
            <w:noWrap/>
            <w:vAlign w:val="center"/>
            <w:hideMark/>
          </w:tcPr>
          <w:p w14:paraId="67CC100E"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26.960.</w:t>
            </w:r>
            <w:r w:rsidRPr="00793836">
              <w:rPr>
                <w:rFonts w:eastAsia="Times New Roman" w:cs="Arial"/>
                <w:color w:val="000000"/>
                <w:sz w:val="12"/>
                <w:szCs w:val="12"/>
              </w:rPr>
              <w:t>000</w:t>
            </w:r>
          </w:p>
        </w:tc>
        <w:tc>
          <w:tcPr>
            <w:tcW w:w="359" w:type="pct"/>
            <w:tcBorders>
              <w:top w:val="nil"/>
              <w:left w:val="nil"/>
              <w:bottom w:val="dotted" w:sz="4" w:space="0" w:color="auto"/>
              <w:right w:val="dotted" w:sz="4" w:space="0" w:color="auto"/>
            </w:tcBorders>
            <w:shd w:val="clear" w:color="auto" w:fill="auto"/>
            <w:noWrap/>
            <w:vAlign w:val="center"/>
            <w:hideMark/>
          </w:tcPr>
          <w:p w14:paraId="1A90CFA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27.436.</w:t>
            </w:r>
            <w:r w:rsidRPr="00793836">
              <w:rPr>
                <w:rFonts w:eastAsia="Times New Roman" w:cs="Arial"/>
                <w:color w:val="000000"/>
                <w:sz w:val="12"/>
                <w:szCs w:val="12"/>
              </w:rPr>
              <w:t>894</w:t>
            </w:r>
          </w:p>
        </w:tc>
        <w:tc>
          <w:tcPr>
            <w:tcW w:w="174" w:type="pct"/>
            <w:tcBorders>
              <w:top w:val="nil"/>
              <w:left w:val="nil"/>
              <w:bottom w:val="dotted" w:sz="4" w:space="0" w:color="auto"/>
              <w:right w:val="double" w:sz="6" w:space="0" w:color="auto"/>
            </w:tcBorders>
            <w:shd w:val="clear" w:color="auto" w:fill="auto"/>
            <w:noWrap/>
            <w:vAlign w:val="bottom"/>
            <w:hideMark/>
          </w:tcPr>
          <w:p w14:paraId="407B79C9"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xxx</w:t>
            </w:r>
          </w:p>
        </w:tc>
        <w:tc>
          <w:tcPr>
            <w:tcW w:w="81" w:type="pct"/>
            <w:tcBorders>
              <w:top w:val="nil"/>
              <w:left w:val="nil"/>
              <w:bottom w:val="nil"/>
              <w:right w:val="nil"/>
            </w:tcBorders>
            <w:shd w:val="clear" w:color="auto" w:fill="auto"/>
            <w:noWrap/>
            <w:vAlign w:val="bottom"/>
            <w:hideMark/>
          </w:tcPr>
          <w:p w14:paraId="5BFBE35E"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694E74B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15.900.</w:t>
            </w:r>
            <w:r w:rsidRPr="00793836">
              <w:rPr>
                <w:rFonts w:eastAsia="Times New Roman" w:cs="Arial"/>
                <w:color w:val="000000"/>
                <w:sz w:val="12"/>
                <w:szCs w:val="12"/>
              </w:rPr>
              <w:t xml:space="preserve">000 </w:t>
            </w:r>
          </w:p>
        </w:tc>
        <w:tc>
          <w:tcPr>
            <w:tcW w:w="359" w:type="pct"/>
            <w:tcBorders>
              <w:top w:val="nil"/>
              <w:left w:val="nil"/>
              <w:bottom w:val="dotted" w:sz="4" w:space="0" w:color="auto"/>
              <w:right w:val="dotted" w:sz="4" w:space="0" w:color="auto"/>
            </w:tcBorders>
            <w:shd w:val="clear" w:color="auto" w:fill="auto"/>
            <w:noWrap/>
            <w:vAlign w:val="center"/>
            <w:hideMark/>
          </w:tcPr>
          <w:p w14:paraId="01DFD1E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12.260.</w:t>
            </w:r>
            <w:r w:rsidRPr="00793836">
              <w:rPr>
                <w:rFonts w:eastAsia="Times New Roman" w:cs="Arial"/>
                <w:color w:val="000000"/>
                <w:sz w:val="12"/>
                <w:szCs w:val="12"/>
              </w:rPr>
              <w:t xml:space="preserve">000 </w:t>
            </w:r>
          </w:p>
        </w:tc>
        <w:tc>
          <w:tcPr>
            <w:tcW w:w="366" w:type="pct"/>
            <w:tcBorders>
              <w:top w:val="nil"/>
              <w:left w:val="nil"/>
              <w:bottom w:val="dotted" w:sz="4" w:space="0" w:color="auto"/>
              <w:right w:val="double" w:sz="6" w:space="0" w:color="auto"/>
            </w:tcBorders>
            <w:shd w:val="clear" w:color="auto" w:fill="auto"/>
            <w:noWrap/>
            <w:vAlign w:val="center"/>
            <w:hideMark/>
          </w:tcPr>
          <w:p w14:paraId="0284E484"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3.640.</w:t>
            </w:r>
            <w:r w:rsidRPr="00793836">
              <w:rPr>
                <w:rFonts w:eastAsia="Times New Roman" w:cs="Arial"/>
                <w:color w:val="000000"/>
                <w:sz w:val="12"/>
                <w:szCs w:val="12"/>
              </w:rPr>
              <w:t xml:space="preserve">000 </w:t>
            </w:r>
          </w:p>
        </w:tc>
      </w:tr>
      <w:tr w:rsidR="00AD66A6" w:rsidRPr="00793836" w14:paraId="25C5B7D2" w14:textId="77777777" w:rsidTr="00AD66A6">
        <w:trPr>
          <w:trHeight w:val="245"/>
        </w:trPr>
        <w:tc>
          <w:tcPr>
            <w:tcW w:w="1182" w:type="pct"/>
            <w:tcBorders>
              <w:top w:val="nil"/>
              <w:left w:val="double" w:sz="6" w:space="0" w:color="auto"/>
              <w:bottom w:val="dotted" w:sz="4" w:space="0" w:color="auto"/>
              <w:right w:val="dotted" w:sz="4" w:space="0" w:color="auto"/>
            </w:tcBorders>
            <w:shd w:val="clear" w:color="auto" w:fill="auto"/>
            <w:noWrap/>
            <w:vAlign w:val="center"/>
            <w:hideMark/>
          </w:tcPr>
          <w:p w14:paraId="77E039C5"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Beneficios del seguro por la mercancía dañada </w:t>
            </w:r>
          </w:p>
        </w:tc>
        <w:tc>
          <w:tcPr>
            <w:tcW w:w="376" w:type="pct"/>
            <w:tcBorders>
              <w:top w:val="nil"/>
              <w:left w:val="nil"/>
              <w:bottom w:val="dotted" w:sz="4" w:space="0" w:color="auto"/>
              <w:right w:val="dotted" w:sz="4" w:space="0" w:color="auto"/>
            </w:tcBorders>
            <w:shd w:val="clear" w:color="auto" w:fill="auto"/>
            <w:vAlign w:val="center"/>
            <w:hideMark/>
          </w:tcPr>
          <w:p w14:paraId="70153765" w14:textId="77777777" w:rsidR="00AD66A6" w:rsidRPr="00325F25" w:rsidRDefault="00AD66A6" w:rsidP="0038698C">
            <w:pPr>
              <w:jc w:val="right"/>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329" w:type="pct"/>
            <w:tcBorders>
              <w:top w:val="nil"/>
              <w:left w:val="nil"/>
              <w:bottom w:val="dotted" w:sz="4" w:space="0" w:color="auto"/>
              <w:right w:val="dotted" w:sz="4" w:space="0" w:color="auto"/>
            </w:tcBorders>
            <w:shd w:val="clear" w:color="auto" w:fill="auto"/>
            <w:vAlign w:val="center"/>
            <w:hideMark/>
          </w:tcPr>
          <w:p w14:paraId="78FB0F34" w14:textId="77777777" w:rsidR="00AD66A6" w:rsidRPr="00793836" w:rsidRDefault="00AD66A6" w:rsidP="0038698C">
            <w:pPr>
              <w:jc w:val="right"/>
              <w:rPr>
                <w:rFonts w:eastAsia="Times New Roman" w:cs="Arial"/>
                <w:color w:val="000000"/>
                <w:sz w:val="12"/>
                <w:szCs w:val="12"/>
              </w:rPr>
            </w:pPr>
            <w:r w:rsidRPr="00325F25">
              <w:rPr>
                <w:rFonts w:eastAsia="Times New Roman" w:cs="Arial"/>
                <w:color w:val="000000"/>
                <w:sz w:val="12"/>
                <w:szCs w:val="12"/>
                <w:lang w:val="es-ES_tradnl"/>
              </w:rPr>
              <w:t xml:space="preserve">         </w:t>
            </w:r>
            <w:r>
              <w:rPr>
                <w:rFonts w:eastAsia="Times New Roman" w:cs="Arial"/>
                <w:color w:val="000000"/>
                <w:sz w:val="12"/>
                <w:szCs w:val="12"/>
              </w:rPr>
              <w:t>300.</w:t>
            </w:r>
            <w:r w:rsidRPr="00793836">
              <w:rPr>
                <w:rFonts w:eastAsia="Times New Roman" w:cs="Arial"/>
                <w:color w:val="000000"/>
                <w:sz w:val="12"/>
                <w:szCs w:val="12"/>
              </w:rPr>
              <w:t xml:space="preserve">000 </w:t>
            </w:r>
          </w:p>
        </w:tc>
        <w:tc>
          <w:tcPr>
            <w:tcW w:w="337" w:type="pct"/>
            <w:tcBorders>
              <w:top w:val="nil"/>
              <w:left w:val="nil"/>
              <w:bottom w:val="dotted" w:sz="4" w:space="0" w:color="auto"/>
              <w:right w:val="dotted" w:sz="4" w:space="0" w:color="auto"/>
            </w:tcBorders>
            <w:shd w:val="clear" w:color="auto" w:fill="auto"/>
            <w:noWrap/>
            <w:vAlign w:val="center"/>
            <w:hideMark/>
          </w:tcPr>
          <w:p w14:paraId="5283454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(300.</w:t>
            </w:r>
            <w:r w:rsidRPr="00793836">
              <w:rPr>
                <w:rFonts w:eastAsia="Times New Roman" w:cs="Arial"/>
                <w:color w:val="000000"/>
                <w:sz w:val="12"/>
                <w:szCs w:val="12"/>
              </w:rPr>
              <w:t>000)</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1105E40E"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nil"/>
              <w:bottom w:val="dotted" w:sz="4" w:space="0" w:color="auto"/>
              <w:right w:val="dotted" w:sz="4" w:space="0" w:color="auto"/>
            </w:tcBorders>
            <w:shd w:val="clear" w:color="auto" w:fill="auto"/>
            <w:noWrap/>
            <w:vAlign w:val="center"/>
            <w:hideMark/>
          </w:tcPr>
          <w:p w14:paraId="2A0A9B1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9" w:type="pct"/>
            <w:tcBorders>
              <w:top w:val="nil"/>
              <w:left w:val="nil"/>
              <w:bottom w:val="dotted" w:sz="4" w:space="0" w:color="auto"/>
              <w:right w:val="dotted" w:sz="4" w:space="0" w:color="auto"/>
            </w:tcBorders>
            <w:shd w:val="clear" w:color="auto" w:fill="auto"/>
            <w:vAlign w:val="center"/>
            <w:hideMark/>
          </w:tcPr>
          <w:p w14:paraId="73ECAF6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300.</w:t>
            </w:r>
            <w:r w:rsidRPr="00793836">
              <w:rPr>
                <w:rFonts w:eastAsia="Times New Roman" w:cs="Arial"/>
                <w:color w:val="000000"/>
                <w:sz w:val="12"/>
                <w:szCs w:val="12"/>
              </w:rPr>
              <w:t xml:space="preserve">000 </w:t>
            </w:r>
          </w:p>
        </w:tc>
        <w:tc>
          <w:tcPr>
            <w:tcW w:w="359" w:type="pct"/>
            <w:tcBorders>
              <w:top w:val="nil"/>
              <w:left w:val="nil"/>
              <w:bottom w:val="dotted" w:sz="4" w:space="0" w:color="auto"/>
              <w:right w:val="dotted" w:sz="4" w:space="0" w:color="auto"/>
            </w:tcBorders>
            <w:shd w:val="clear" w:color="auto" w:fill="auto"/>
            <w:noWrap/>
            <w:vAlign w:val="center"/>
            <w:hideMark/>
          </w:tcPr>
          <w:p w14:paraId="5A12BBE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(300.</w:t>
            </w:r>
            <w:r w:rsidRPr="00793836">
              <w:rPr>
                <w:rFonts w:eastAsia="Times New Roman" w:cs="Arial"/>
                <w:color w:val="000000"/>
                <w:sz w:val="12"/>
                <w:szCs w:val="12"/>
              </w:rPr>
              <w:t>000)</w:t>
            </w:r>
          </w:p>
        </w:tc>
        <w:tc>
          <w:tcPr>
            <w:tcW w:w="174" w:type="pct"/>
            <w:tcBorders>
              <w:top w:val="nil"/>
              <w:left w:val="nil"/>
              <w:bottom w:val="dotted" w:sz="4" w:space="0" w:color="auto"/>
              <w:right w:val="double" w:sz="6" w:space="0" w:color="auto"/>
            </w:tcBorders>
            <w:shd w:val="clear" w:color="auto" w:fill="auto"/>
            <w:noWrap/>
            <w:vAlign w:val="bottom"/>
            <w:hideMark/>
          </w:tcPr>
          <w:p w14:paraId="1BBFFF9D"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FBDEA53"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23D3462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center"/>
            <w:hideMark/>
          </w:tcPr>
          <w:p w14:paraId="7B36EB0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6" w:type="pct"/>
            <w:tcBorders>
              <w:top w:val="nil"/>
              <w:left w:val="nil"/>
              <w:bottom w:val="dotted" w:sz="4" w:space="0" w:color="auto"/>
              <w:right w:val="double" w:sz="6" w:space="0" w:color="auto"/>
            </w:tcBorders>
            <w:shd w:val="clear" w:color="auto" w:fill="auto"/>
            <w:noWrap/>
            <w:vAlign w:val="center"/>
            <w:hideMark/>
          </w:tcPr>
          <w:p w14:paraId="04E379D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   </w:t>
            </w:r>
          </w:p>
        </w:tc>
      </w:tr>
      <w:tr w:rsidR="00AD66A6" w:rsidRPr="00793836" w14:paraId="0B436904" w14:textId="77777777" w:rsidTr="00AD66A6">
        <w:trPr>
          <w:trHeight w:val="229"/>
        </w:trPr>
        <w:tc>
          <w:tcPr>
            <w:tcW w:w="1182" w:type="pct"/>
            <w:tcBorders>
              <w:top w:val="nil"/>
              <w:left w:val="double" w:sz="6" w:space="0" w:color="auto"/>
              <w:bottom w:val="dotted" w:sz="4" w:space="0" w:color="auto"/>
              <w:right w:val="dotted" w:sz="4" w:space="0" w:color="auto"/>
            </w:tcBorders>
            <w:shd w:val="clear" w:color="auto" w:fill="auto"/>
            <w:noWrap/>
            <w:vAlign w:val="center"/>
            <w:hideMark/>
          </w:tcPr>
          <w:p w14:paraId="2D29CC28"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w:t>
            </w:r>
          </w:p>
        </w:tc>
        <w:tc>
          <w:tcPr>
            <w:tcW w:w="376" w:type="pct"/>
            <w:tcBorders>
              <w:top w:val="nil"/>
              <w:left w:val="nil"/>
              <w:bottom w:val="dotted" w:sz="4" w:space="0" w:color="auto"/>
              <w:right w:val="dotted" w:sz="4" w:space="0" w:color="auto"/>
            </w:tcBorders>
            <w:shd w:val="clear" w:color="auto" w:fill="auto"/>
            <w:vAlign w:val="center"/>
            <w:hideMark/>
          </w:tcPr>
          <w:p w14:paraId="3789DE5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_______</w:t>
            </w:r>
          </w:p>
        </w:tc>
        <w:tc>
          <w:tcPr>
            <w:tcW w:w="329" w:type="pct"/>
            <w:tcBorders>
              <w:top w:val="nil"/>
              <w:left w:val="nil"/>
              <w:bottom w:val="dotted" w:sz="4" w:space="0" w:color="auto"/>
              <w:right w:val="dotted" w:sz="4" w:space="0" w:color="auto"/>
            </w:tcBorders>
            <w:shd w:val="clear" w:color="auto" w:fill="auto"/>
            <w:vAlign w:val="center"/>
            <w:hideMark/>
          </w:tcPr>
          <w:p w14:paraId="3F239835"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37" w:type="pct"/>
            <w:tcBorders>
              <w:top w:val="nil"/>
              <w:left w:val="nil"/>
              <w:bottom w:val="dotted" w:sz="4" w:space="0" w:color="auto"/>
              <w:right w:val="dotted" w:sz="4" w:space="0" w:color="auto"/>
            </w:tcBorders>
            <w:shd w:val="clear" w:color="auto" w:fill="auto"/>
            <w:noWrap/>
            <w:vAlign w:val="center"/>
            <w:hideMark/>
          </w:tcPr>
          <w:p w14:paraId="5392F29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47721DD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88" w:type="pct"/>
            <w:tcBorders>
              <w:top w:val="nil"/>
              <w:left w:val="nil"/>
              <w:bottom w:val="dotted" w:sz="4" w:space="0" w:color="auto"/>
              <w:right w:val="dotted" w:sz="4" w:space="0" w:color="auto"/>
            </w:tcBorders>
            <w:shd w:val="clear" w:color="auto" w:fill="auto"/>
            <w:vAlign w:val="center"/>
            <w:hideMark/>
          </w:tcPr>
          <w:p w14:paraId="7FEFB2C5"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69" w:type="pct"/>
            <w:tcBorders>
              <w:top w:val="nil"/>
              <w:left w:val="nil"/>
              <w:bottom w:val="dotted" w:sz="4" w:space="0" w:color="auto"/>
              <w:right w:val="dotted" w:sz="4" w:space="0" w:color="auto"/>
            </w:tcBorders>
            <w:shd w:val="clear" w:color="auto" w:fill="auto"/>
            <w:vAlign w:val="center"/>
            <w:hideMark/>
          </w:tcPr>
          <w:p w14:paraId="29AA1E7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59" w:type="pct"/>
            <w:tcBorders>
              <w:top w:val="nil"/>
              <w:left w:val="nil"/>
              <w:bottom w:val="dotted" w:sz="4" w:space="0" w:color="auto"/>
              <w:right w:val="dotted" w:sz="4" w:space="0" w:color="auto"/>
            </w:tcBorders>
            <w:shd w:val="clear" w:color="auto" w:fill="auto"/>
            <w:vAlign w:val="center"/>
            <w:hideMark/>
          </w:tcPr>
          <w:p w14:paraId="7E5F681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174" w:type="pct"/>
            <w:tcBorders>
              <w:top w:val="nil"/>
              <w:left w:val="nil"/>
              <w:bottom w:val="dotted" w:sz="4" w:space="0" w:color="auto"/>
              <w:right w:val="double" w:sz="6" w:space="0" w:color="auto"/>
            </w:tcBorders>
            <w:shd w:val="clear" w:color="auto" w:fill="auto"/>
            <w:noWrap/>
            <w:vAlign w:val="bottom"/>
            <w:hideMark/>
          </w:tcPr>
          <w:p w14:paraId="2D29F2CF"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3D54B3C2"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vAlign w:val="center"/>
            <w:hideMark/>
          </w:tcPr>
          <w:p w14:paraId="7580FB0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59" w:type="pct"/>
            <w:tcBorders>
              <w:top w:val="nil"/>
              <w:left w:val="nil"/>
              <w:bottom w:val="dotted" w:sz="4" w:space="0" w:color="auto"/>
              <w:right w:val="dotted" w:sz="4" w:space="0" w:color="auto"/>
            </w:tcBorders>
            <w:shd w:val="clear" w:color="auto" w:fill="auto"/>
            <w:vAlign w:val="center"/>
            <w:hideMark/>
          </w:tcPr>
          <w:p w14:paraId="702B4EC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c>
          <w:tcPr>
            <w:tcW w:w="366" w:type="pct"/>
            <w:tcBorders>
              <w:top w:val="nil"/>
              <w:left w:val="nil"/>
              <w:bottom w:val="dotted" w:sz="4" w:space="0" w:color="auto"/>
              <w:right w:val="double" w:sz="6" w:space="0" w:color="auto"/>
            </w:tcBorders>
            <w:shd w:val="clear" w:color="auto" w:fill="auto"/>
            <w:vAlign w:val="center"/>
            <w:hideMark/>
          </w:tcPr>
          <w:p w14:paraId="4879FF49"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______</w:t>
            </w:r>
          </w:p>
        </w:tc>
      </w:tr>
      <w:tr w:rsidR="00AD66A6" w:rsidRPr="00793836" w14:paraId="491679FE" w14:textId="77777777" w:rsidTr="00AD66A6">
        <w:trPr>
          <w:trHeight w:val="245"/>
        </w:trPr>
        <w:tc>
          <w:tcPr>
            <w:tcW w:w="1182" w:type="pct"/>
            <w:tcBorders>
              <w:top w:val="nil"/>
              <w:left w:val="double" w:sz="6" w:space="0" w:color="auto"/>
              <w:bottom w:val="dotted" w:sz="4" w:space="0" w:color="auto"/>
              <w:right w:val="dotted" w:sz="4" w:space="0" w:color="auto"/>
            </w:tcBorders>
            <w:shd w:val="clear" w:color="auto" w:fill="auto"/>
            <w:noWrap/>
            <w:vAlign w:val="center"/>
            <w:hideMark/>
          </w:tcPr>
          <w:p w14:paraId="34207B98" w14:textId="77777777" w:rsidR="00AD66A6" w:rsidRPr="00125B76" w:rsidRDefault="00AD66A6" w:rsidP="0038698C">
            <w:pPr>
              <w:rPr>
                <w:rFonts w:eastAsia="Times New Roman" w:cs="Arial"/>
                <w:b/>
                <w:bCs/>
                <w:color w:val="000000"/>
                <w:sz w:val="12"/>
                <w:szCs w:val="12"/>
                <w:lang w:val="es-ES_tradnl"/>
              </w:rPr>
            </w:pPr>
            <w:r w:rsidRPr="00125B76">
              <w:rPr>
                <w:rFonts w:eastAsia="Times New Roman" w:cs="Arial"/>
                <w:b/>
                <w:bCs/>
                <w:color w:val="000000"/>
                <w:sz w:val="12"/>
                <w:szCs w:val="12"/>
                <w:lang w:val="es-ES_tradnl"/>
              </w:rPr>
              <w:t xml:space="preserve">Fuentes totales de fondos de subvención </w:t>
            </w:r>
          </w:p>
        </w:tc>
        <w:tc>
          <w:tcPr>
            <w:tcW w:w="376" w:type="pct"/>
            <w:tcBorders>
              <w:top w:val="nil"/>
              <w:left w:val="nil"/>
              <w:bottom w:val="dotted" w:sz="4" w:space="0" w:color="auto"/>
              <w:right w:val="dotted" w:sz="4" w:space="0" w:color="auto"/>
            </w:tcBorders>
            <w:shd w:val="clear" w:color="auto" w:fill="auto"/>
            <w:vAlign w:val="center"/>
            <w:hideMark/>
          </w:tcPr>
          <w:p w14:paraId="5D325873"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38.496.</w:t>
            </w:r>
            <w:r w:rsidRPr="00793836">
              <w:rPr>
                <w:rFonts w:eastAsia="Times New Roman" w:cs="Arial"/>
                <w:b/>
                <w:bCs/>
                <w:color w:val="000000"/>
                <w:sz w:val="12"/>
                <w:szCs w:val="12"/>
              </w:rPr>
              <w:t>894</w:t>
            </w:r>
          </w:p>
        </w:tc>
        <w:tc>
          <w:tcPr>
            <w:tcW w:w="329" w:type="pct"/>
            <w:tcBorders>
              <w:top w:val="nil"/>
              <w:left w:val="nil"/>
              <w:bottom w:val="dotted" w:sz="4" w:space="0" w:color="auto"/>
              <w:right w:val="dotted" w:sz="4" w:space="0" w:color="auto"/>
            </w:tcBorders>
            <w:shd w:val="clear" w:color="auto" w:fill="auto"/>
            <w:vAlign w:val="center"/>
            <w:hideMark/>
          </w:tcPr>
          <w:p w14:paraId="6F7812A2"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16.</w:t>
            </w:r>
            <w:r w:rsidRPr="00793836">
              <w:rPr>
                <w:rFonts w:eastAsia="Times New Roman" w:cs="Arial"/>
                <w:b/>
                <w:bCs/>
                <w:color w:val="000000"/>
                <w:sz w:val="12"/>
                <w:szCs w:val="12"/>
              </w:rPr>
              <w:t>3</w:t>
            </w:r>
            <w:r>
              <w:rPr>
                <w:rFonts w:eastAsia="Times New Roman" w:cs="Arial"/>
                <w:b/>
                <w:bCs/>
                <w:color w:val="000000"/>
                <w:sz w:val="12"/>
                <w:szCs w:val="12"/>
              </w:rPr>
              <w:t>82.</w:t>
            </w:r>
            <w:r w:rsidRPr="00793836">
              <w:rPr>
                <w:rFonts w:eastAsia="Times New Roman" w:cs="Arial"/>
                <w:b/>
                <w:bCs/>
                <w:color w:val="000000"/>
                <w:sz w:val="12"/>
                <w:szCs w:val="12"/>
              </w:rPr>
              <w:t>089</w:t>
            </w:r>
          </w:p>
        </w:tc>
        <w:tc>
          <w:tcPr>
            <w:tcW w:w="337" w:type="pct"/>
            <w:tcBorders>
              <w:top w:val="nil"/>
              <w:left w:val="nil"/>
              <w:bottom w:val="dotted" w:sz="4" w:space="0" w:color="auto"/>
              <w:right w:val="dotted" w:sz="4" w:space="0" w:color="auto"/>
            </w:tcBorders>
            <w:shd w:val="clear" w:color="auto" w:fill="auto"/>
            <w:vAlign w:val="center"/>
            <w:hideMark/>
          </w:tcPr>
          <w:p w14:paraId="6C6FCF67"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23.496.</w:t>
            </w:r>
            <w:r w:rsidRPr="00793836">
              <w:rPr>
                <w:rFonts w:eastAsia="Times New Roman" w:cs="Arial"/>
                <w:b/>
                <w:bCs/>
                <w:color w:val="000000"/>
                <w:sz w:val="12"/>
                <w:szCs w:val="12"/>
              </w:rPr>
              <w:t>894</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18749AAE"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88" w:type="pct"/>
            <w:tcBorders>
              <w:top w:val="nil"/>
              <w:left w:val="nil"/>
              <w:bottom w:val="dotted" w:sz="4" w:space="0" w:color="auto"/>
              <w:right w:val="dotted" w:sz="4" w:space="0" w:color="auto"/>
            </w:tcBorders>
            <w:shd w:val="clear" w:color="auto" w:fill="auto"/>
            <w:noWrap/>
            <w:vAlign w:val="center"/>
            <w:hideMark/>
          </w:tcPr>
          <w:p w14:paraId="4C5ECD37"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54.396.</w:t>
            </w:r>
            <w:r w:rsidRPr="00793836">
              <w:rPr>
                <w:rFonts w:eastAsia="Times New Roman" w:cs="Arial"/>
                <w:b/>
                <w:bCs/>
                <w:color w:val="000000"/>
                <w:sz w:val="12"/>
                <w:szCs w:val="12"/>
              </w:rPr>
              <w:t>894</w:t>
            </w:r>
          </w:p>
        </w:tc>
        <w:tc>
          <w:tcPr>
            <w:tcW w:w="369" w:type="pct"/>
            <w:tcBorders>
              <w:top w:val="nil"/>
              <w:left w:val="nil"/>
              <w:bottom w:val="dotted" w:sz="4" w:space="0" w:color="auto"/>
              <w:right w:val="dotted" w:sz="4" w:space="0" w:color="auto"/>
            </w:tcBorders>
            <w:shd w:val="clear" w:color="auto" w:fill="auto"/>
            <w:noWrap/>
            <w:vAlign w:val="center"/>
            <w:hideMark/>
          </w:tcPr>
          <w:p w14:paraId="6BF3A62C"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27.260.</w:t>
            </w:r>
            <w:r w:rsidRPr="00793836">
              <w:rPr>
                <w:rFonts w:eastAsia="Times New Roman" w:cs="Arial"/>
                <w:b/>
                <w:bCs/>
                <w:color w:val="000000"/>
                <w:sz w:val="12"/>
                <w:szCs w:val="12"/>
              </w:rPr>
              <w:t>000</w:t>
            </w:r>
          </w:p>
        </w:tc>
        <w:tc>
          <w:tcPr>
            <w:tcW w:w="359" w:type="pct"/>
            <w:tcBorders>
              <w:top w:val="nil"/>
              <w:left w:val="nil"/>
              <w:bottom w:val="dotted" w:sz="4" w:space="0" w:color="auto"/>
              <w:right w:val="dotted" w:sz="4" w:space="0" w:color="auto"/>
            </w:tcBorders>
            <w:shd w:val="clear" w:color="auto" w:fill="auto"/>
            <w:noWrap/>
            <w:vAlign w:val="center"/>
            <w:hideMark/>
          </w:tcPr>
          <w:p w14:paraId="7D3AD51A"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27.136.</w:t>
            </w:r>
            <w:r w:rsidRPr="00793836">
              <w:rPr>
                <w:rFonts w:eastAsia="Times New Roman" w:cs="Arial"/>
                <w:b/>
                <w:bCs/>
                <w:color w:val="000000"/>
                <w:sz w:val="12"/>
                <w:szCs w:val="12"/>
              </w:rPr>
              <w:t>894</w:t>
            </w:r>
          </w:p>
        </w:tc>
        <w:tc>
          <w:tcPr>
            <w:tcW w:w="174" w:type="pct"/>
            <w:tcBorders>
              <w:top w:val="nil"/>
              <w:left w:val="nil"/>
              <w:bottom w:val="dotted" w:sz="4" w:space="0" w:color="auto"/>
              <w:right w:val="double" w:sz="6" w:space="0" w:color="auto"/>
            </w:tcBorders>
            <w:shd w:val="clear" w:color="auto" w:fill="auto"/>
            <w:noWrap/>
            <w:vAlign w:val="bottom"/>
            <w:hideMark/>
          </w:tcPr>
          <w:p w14:paraId="550E2EAB"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1C214970"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440B1611"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15.900.</w:t>
            </w:r>
            <w:r w:rsidRPr="00793836">
              <w:rPr>
                <w:rFonts w:eastAsia="Times New Roman" w:cs="Arial"/>
                <w:b/>
                <w:bCs/>
                <w:color w:val="000000"/>
                <w:sz w:val="12"/>
                <w:szCs w:val="12"/>
              </w:rPr>
              <w:t xml:space="preserve">000 </w:t>
            </w:r>
          </w:p>
        </w:tc>
        <w:tc>
          <w:tcPr>
            <w:tcW w:w="359" w:type="pct"/>
            <w:tcBorders>
              <w:top w:val="nil"/>
              <w:left w:val="nil"/>
              <w:bottom w:val="dotted" w:sz="4" w:space="0" w:color="auto"/>
              <w:right w:val="dotted" w:sz="4" w:space="0" w:color="auto"/>
            </w:tcBorders>
            <w:shd w:val="clear" w:color="auto" w:fill="auto"/>
            <w:noWrap/>
            <w:vAlign w:val="center"/>
            <w:hideMark/>
          </w:tcPr>
          <w:p w14:paraId="785A75D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12.260.</w:t>
            </w:r>
            <w:r w:rsidRPr="00793836">
              <w:rPr>
                <w:rFonts w:eastAsia="Times New Roman" w:cs="Arial"/>
                <w:b/>
                <w:bCs/>
                <w:color w:val="000000"/>
                <w:sz w:val="12"/>
                <w:szCs w:val="12"/>
              </w:rPr>
              <w:t xml:space="preserve">000 </w:t>
            </w:r>
          </w:p>
        </w:tc>
        <w:tc>
          <w:tcPr>
            <w:tcW w:w="366" w:type="pct"/>
            <w:tcBorders>
              <w:top w:val="nil"/>
              <w:left w:val="nil"/>
              <w:bottom w:val="dotted" w:sz="4" w:space="0" w:color="auto"/>
              <w:right w:val="double" w:sz="6" w:space="0" w:color="auto"/>
            </w:tcBorders>
            <w:shd w:val="clear" w:color="auto" w:fill="auto"/>
            <w:noWrap/>
            <w:vAlign w:val="center"/>
            <w:hideMark/>
          </w:tcPr>
          <w:p w14:paraId="4167E05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3.640.</w:t>
            </w:r>
            <w:r w:rsidRPr="00793836">
              <w:rPr>
                <w:rFonts w:eastAsia="Times New Roman" w:cs="Arial"/>
                <w:b/>
                <w:bCs/>
                <w:color w:val="000000"/>
                <w:sz w:val="12"/>
                <w:szCs w:val="12"/>
              </w:rPr>
              <w:t xml:space="preserve">000 </w:t>
            </w:r>
          </w:p>
        </w:tc>
      </w:tr>
      <w:tr w:rsidR="00AD66A6" w:rsidRPr="00793836" w14:paraId="1533C326" w14:textId="77777777" w:rsidTr="00AD66A6">
        <w:trPr>
          <w:trHeight w:val="139"/>
        </w:trPr>
        <w:tc>
          <w:tcPr>
            <w:tcW w:w="1182" w:type="pct"/>
            <w:tcBorders>
              <w:top w:val="nil"/>
              <w:left w:val="double" w:sz="6" w:space="0" w:color="auto"/>
              <w:bottom w:val="dotted" w:sz="4" w:space="0" w:color="auto"/>
              <w:right w:val="dotted" w:sz="4" w:space="0" w:color="auto"/>
            </w:tcBorders>
            <w:shd w:val="clear" w:color="auto" w:fill="auto"/>
            <w:noWrap/>
            <w:vAlign w:val="center"/>
            <w:hideMark/>
          </w:tcPr>
          <w:p w14:paraId="7E52DFEF"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w:t>
            </w:r>
          </w:p>
        </w:tc>
        <w:tc>
          <w:tcPr>
            <w:tcW w:w="376" w:type="pct"/>
            <w:tcBorders>
              <w:top w:val="nil"/>
              <w:left w:val="nil"/>
              <w:bottom w:val="dotted" w:sz="4" w:space="0" w:color="auto"/>
              <w:right w:val="dotted" w:sz="4" w:space="0" w:color="auto"/>
            </w:tcBorders>
            <w:shd w:val="clear" w:color="auto" w:fill="auto"/>
            <w:vAlign w:val="center"/>
            <w:hideMark/>
          </w:tcPr>
          <w:p w14:paraId="4C65CBC9"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29" w:type="pct"/>
            <w:tcBorders>
              <w:top w:val="nil"/>
              <w:left w:val="nil"/>
              <w:bottom w:val="dotted" w:sz="4" w:space="0" w:color="auto"/>
              <w:right w:val="dotted" w:sz="4" w:space="0" w:color="auto"/>
            </w:tcBorders>
            <w:shd w:val="clear" w:color="auto" w:fill="auto"/>
            <w:vAlign w:val="center"/>
            <w:hideMark/>
          </w:tcPr>
          <w:p w14:paraId="7847B083"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37" w:type="pct"/>
            <w:tcBorders>
              <w:top w:val="nil"/>
              <w:left w:val="nil"/>
              <w:bottom w:val="dotted" w:sz="4" w:space="0" w:color="auto"/>
              <w:right w:val="dotted" w:sz="4" w:space="0" w:color="auto"/>
            </w:tcBorders>
            <w:shd w:val="clear" w:color="auto" w:fill="auto"/>
            <w:noWrap/>
            <w:vAlign w:val="center"/>
            <w:hideMark/>
          </w:tcPr>
          <w:p w14:paraId="714B9144"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7B10CB52"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88" w:type="pct"/>
            <w:tcBorders>
              <w:top w:val="nil"/>
              <w:left w:val="nil"/>
              <w:bottom w:val="dotted" w:sz="4" w:space="0" w:color="auto"/>
              <w:right w:val="dotted" w:sz="4" w:space="0" w:color="auto"/>
            </w:tcBorders>
            <w:shd w:val="clear" w:color="auto" w:fill="auto"/>
            <w:noWrap/>
            <w:vAlign w:val="center"/>
            <w:hideMark/>
          </w:tcPr>
          <w:p w14:paraId="4E54FF1A"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69" w:type="pct"/>
            <w:tcBorders>
              <w:top w:val="nil"/>
              <w:left w:val="nil"/>
              <w:bottom w:val="dotted" w:sz="4" w:space="0" w:color="auto"/>
              <w:right w:val="dotted" w:sz="4" w:space="0" w:color="auto"/>
            </w:tcBorders>
            <w:shd w:val="clear" w:color="auto" w:fill="auto"/>
            <w:noWrap/>
            <w:vAlign w:val="center"/>
            <w:hideMark/>
          </w:tcPr>
          <w:p w14:paraId="2DCB5B18"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59" w:type="pct"/>
            <w:tcBorders>
              <w:top w:val="nil"/>
              <w:left w:val="nil"/>
              <w:bottom w:val="dotted" w:sz="4" w:space="0" w:color="auto"/>
              <w:right w:val="dotted" w:sz="4" w:space="0" w:color="auto"/>
            </w:tcBorders>
            <w:shd w:val="clear" w:color="auto" w:fill="auto"/>
            <w:noWrap/>
            <w:vAlign w:val="center"/>
            <w:hideMark/>
          </w:tcPr>
          <w:p w14:paraId="6D72689B"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174" w:type="pct"/>
            <w:tcBorders>
              <w:top w:val="nil"/>
              <w:left w:val="nil"/>
              <w:bottom w:val="dotted" w:sz="4" w:space="0" w:color="auto"/>
              <w:right w:val="double" w:sz="6" w:space="0" w:color="auto"/>
            </w:tcBorders>
            <w:shd w:val="clear" w:color="auto" w:fill="auto"/>
            <w:noWrap/>
            <w:vAlign w:val="bottom"/>
            <w:hideMark/>
          </w:tcPr>
          <w:p w14:paraId="5923E7AF"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517C1BA2"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vAlign w:val="center"/>
            <w:hideMark/>
          </w:tcPr>
          <w:p w14:paraId="213D07BF"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59" w:type="pct"/>
            <w:tcBorders>
              <w:top w:val="nil"/>
              <w:left w:val="nil"/>
              <w:bottom w:val="dotted" w:sz="4" w:space="0" w:color="auto"/>
              <w:right w:val="dotted" w:sz="4" w:space="0" w:color="auto"/>
            </w:tcBorders>
            <w:shd w:val="clear" w:color="auto" w:fill="auto"/>
            <w:vAlign w:val="center"/>
            <w:hideMark/>
          </w:tcPr>
          <w:p w14:paraId="3D5EE176"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66" w:type="pct"/>
            <w:tcBorders>
              <w:top w:val="nil"/>
              <w:left w:val="nil"/>
              <w:bottom w:val="dotted" w:sz="4" w:space="0" w:color="auto"/>
              <w:right w:val="double" w:sz="6" w:space="0" w:color="auto"/>
            </w:tcBorders>
            <w:shd w:val="clear" w:color="auto" w:fill="auto"/>
            <w:vAlign w:val="center"/>
            <w:hideMark/>
          </w:tcPr>
          <w:p w14:paraId="7BFC32BF"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r>
      <w:tr w:rsidR="00AD66A6" w:rsidRPr="00793836" w14:paraId="6AAC98F2" w14:textId="77777777" w:rsidTr="00AD66A6">
        <w:trPr>
          <w:trHeight w:val="112"/>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7DD242B9" w14:textId="77777777" w:rsidR="00AD66A6" w:rsidRPr="00125B76" w:rsidRDefault="00AD66A6" w:rsidP="0038698C">
            <w:pPr>
              <w:jc w:val="both"/>
              <w:rPr>
                <w:rFonts w:eastAsia="Times New Roman" w:cs="Arial"/>
                <w:b/>
                <w:bCs/>
                <w:color w:val="000000"/>
                <w:sz w:val="12"/>
                <w:szCs w:val="12"/>
                <w:lang w:val="es-ES_tradnl"/>
              </w:rPr>
            </w:pPr>
            <w:r w:rsidRPr="00125B76">
              <w:rPr>
                <w:rFonts w:eastAsia="Times New Roman" w:cs="Arial"/>
                <w:b/>
                <w:bCs/>
                <w:color w:val="000000"/>
                <w:sz w:val="12"/>
                <w:szCs w:val="12"/>
                <w:lang w:val="es-ES_tradnl"/>
              </w:rPr>
              <w:t xml:space="preserve">Usos de los fondos de subvención </w:t>
            </w:r>
          </w:p>
        </w:tc>
        <w:tc>
          <w:tcPr>
            <w:tcW w:w="376" w:type="pct"/>
            <w:tcBorders>
              <w:top w:val="nil"/>
              <w:left w:val="nil"/>
              <w:bottom w:val="dotted" w:sz="4" w:space="0" w:color="auto"/>
              <w:right w:val="dotted" w:sz="4" w:space="0" w:color="auto"/>
            </w:tcBorders>
            <w:shd w:val="clear" w:color="auto" w:fill="auto"/>
            <w:vAlign w:val="center"/>
            <w:hideMark/>
          </w:tcPr>
          <w:p w14:paraId="06569CB6"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29" w:type="pct"/>
            <w:tcBorders>
              <w:top w:val="nil"/>
              <w:left w:val="nil"/>
              <w:bottom w:val="dotted" w:sz="4" w:space="0" w:color="auto"/>
              <w:right w:val="dotted" w:sz="4" w:space="0" w:color="auto"/>
            </w:tcBorders>
            <w:shd w:val="clear" w:color="auto" w:fill="auto"/>
            <w:vAlign w:val="center"/>
            <w:hideMark/>
          </w:tcPr>
          <w:p w14:paraId="43C69C01"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37" w:type="pct"/>
            <w:tcBorders>
              <w:top w:val="nil"/>
              <w:left w:val="nil"/>
              <w:bottom w:val="dotted" w:sz="4" w:space="0" w:color="auto"/>
              <w:right w:val="dotted" w:sz="4" w:space="0" w:color="auto"/>
            </w:tcBorders>
            <w:shd w:val="clear" w:color="auto" w:fill="auto"/>
            <w:noWrap/>
            <w:vAlign w:val="center"/>
            <w:hideMark/>
          </w:tcPr>
          <w:p w14:paraId="355B9A72"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1640D737" w14:textId="77777777" w:rsidR="00AD66A6" w:rsidRPr="00325F25" w:rsidRDefault="00AD66A6" w:rsidP="0038698C">
            <w:pPr>
              <w:jc w:val="right"/>
              <w:rPr>
                <w:rFonts w:eastAsia="Times New Roman" w:cs="Arial"/>
                <w:b/>
                <w:bCs/>
                <w:color w:val="000000"/>
                <w:sz w:val="12"/>
                <w:szCs w:val="12"/>
                <w:lang w:val="es-ES_tradnl"/>
              </w:rPr>
            </w:pPr>
            <w:r w:rsidRPr="00325F25">
              <w:rPr>
                <w:rFonts w:eastAsia="Times New Roman" w:cs="Arial"/>
                <w:b/>
                <w:bCs/>
                <w:color w:val="000000"/>
                <w:sz w:val="12"/>
                <w:szCs w:val="12"/>
                <w:lang w:val="es-ES_tradnl"/>
              </w:rPr>
              <w:t> </w:t>
            </w:r>
          </w:p>
        </w:tc>
        <w:tc>
          <w:tcPr>
            <w:tcW w:w="388" w:type="pct"/>
            <w:tcBorders>
              <w:top w:val="nil"/>
              <w:left w:val="nil"/>
              <w:bottom w:val="dotted" w:sz="4" w:space="0" w:color="auto"/>
              <w:right w:val="dotted" w:sz="4" w:space="0" w:color="auto"/>
            </w:tcBorders>
            <w:shd w:val="clear" w:color="auto" w:fill="auto"/>
            <w:noWrap/>
            <w:vAlign w:val="center"/>
            <w:hideMark/>
          </w:tcPr>
          <w:p w14:paraId="508D1D9D" w14:textId="77777777" w:rsidR="00AD66A6" w:rsidRPr="00325F25" w:rsidRDefault="00AD66A6" w:rsidP="0038698C">
            <w:pPr>
              <w:jc w:val="right"/>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369" w:type="pct"/>
            <w:tcBorders>
              <w:top w:val="nil"/>
              <w:left w:val="nil"/>
              <w:bottom w:val="dotted" w:sz="4" w:space="0" w:color="auto"/>
              <w:right w:val="dotted" w:sz="4" w:space="0" w:color="auto"/>
            </w:tcBorders>
            <w:shd w:val="clear" w:color="auto" w:fill="auto"/>
            <w:noWrap/>
            <w:vAlign w:val="bottom"/>
            <w:hideMark/>
          </w:tcPr>
          <w:p w14:paraId="50B5F88F" w14:textId="77777777" w:rsidR="00AD66A6" w:rsidRPr="00325F25" w:rsidRDefault="00AD66A6" w:rsidP="0038698C">
            <w:pPr>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359" w:type="pct"/>
            <w:tcBorders>
              <w:top w:val="nil"/>
              <w:left w:val="nil"/>
              <w:bottom w:val="dotted" w:sz="4" w:space="0" w:color="auto"/>
              <w:right w:val="dotted" w:sz="4" w:space="0" w:color="auto"/>
            </w:tcBorders>
            <w:shd w:val="clear" w:color="auto" w:fill="auto"/>
            <w:noWrap/>
            <w:vAlign w:val="bottom"/>
            <w:hideMark/>
          </w:tcPr>
          <w:p w14:paraId="700D6EB2" w14:textId="77777777" w:rsidR="00AD66A6" w:rsidRPr="00325F25" w:rsidRDefault="00AD66A6" w:rsidP="0038698C">
            <w:pPr>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174" w:type="pct"/>
            <w:tcBorders>
              <w:top w:val="nil"/>
              <w:left w:val="nil"/>
              <w:bottom w:val="dotted" w:sz="4" w:space="0" w:color="auto"/>
              <w:right w:val="double" w:sz="6" w:space="0" w:color="auto"/>
            </w:tcBorders>
            <w:shd w:val="clear" w:color="auto" w:fill="auto"/>
            <w:noWrap/>
            <w:vAlign w:val="bottom"/>
            <w:hideMark/>
          </w:tcPr>
          <w:p w14:paraId="4E5CA051" w14:textId="77777777" w:rsidR="00AD66A6" w:rsidRPr="00325F25" w:rsidRDefault="00AD66A6" w:rsidP="0038698C">
            <w:pPr>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81" w:type="pct"/>
            <w:tcBorders>
              <w:top w:val="nil"/>
              <w:left w:val="nil"/>
              <w:bottom w:val="nil"/>
              <w:right w:val="nil"/>
            </w:tcBorders>
            <w:shd w:val="clear" w:color="auto" w:fill="auto"/>
            <w:noWrap/>
            <w:vAlign w:val="bottom"/>
            <w:hideMark/>
          </w:tcPr>
          <w:p w14:paraId="527F34CB" w14:textId="77777777" w:rsidR="00AD66A6" w:rsidRPr="00325F25" w:rsidRDefault="00AD66A6" w:rsidP="0038698C">
            <w:pPr>
              <w:rPr>
                <w:rFonts w:eastAsia="Times New Roman" w:cs="Arial"/>
                <w:color w:val="000000"/>
                <w:sz w:val="12"/>
                <w:szCs w:val="12"/>
                <w:lang w:val="es-ES_tradnl"/>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751922C4" w14:textId="77777777" w:rsidR="00AD66A6" w:rsidRPr="00325F25" w:rsidRDefault="00AD66A6" w:rsidP="0038698C">
            <w:pPr>
              <w:jc w:val="right"/>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359" w:type="pct"/>
            <w:tcBorders>
              <w:top w:val="nil"/>
              <w:left w:val="nil"/>
              <w:bottom w:val="dotted" w:sz="4" w:space="0" w:color="auto"/>
              <w:right w:val="dotted" w:sz="4" w:space="0" w:color="auto"/>
            </w:tcBorders>
            <w:shd w:val="clear" w:color="auto" w:fill="auto"/>
            <w:noWrap/>
            <w:vAlign w:val="center"/>
            <w:hideMark/>
          </w:tcPr>
          <w:p w14:paraId="60579CEE" w14:textId="77777777" w:rsidR="00AD66A6" w:rsidRPr="00325F25" w:rsidRDefault="00AD66A6" w:rsidP="0038698C">
            <w:pPr>
              <w:jc w:val="right"/>
              <w:rPr>
                <w:rFonts w:eastAsia="Times New Roman" w:cs="Arial"/>
                <w:color w:val="000000"/>
                <w:sz w:val="12"/>
                <w:szCs w:val="12"/>
                <w:lang w:val="es-ES_tradnl"/>
              </w:rPr>
            </w:pPr>
            <w:r w:rsidRPr="00325F25">
              <w:rPr>
                <w:rFonts w:eastAsia="Times New Roman" w:cs="Arial"/>
                <w:color w:val="000000"/>
                <w:sz w:val="12"/>
                <w:szCs w:val="12"/>
                <w:lang w:val="es-ES_tradnl"/>
              </w:rPr>
              <w:t> </w:t>
            </w:r>
          </w:p>
        </w:tc>
        <w:tc>
          <w:tcPr>
            <w:tcW w:w="366" w:type="pct"/>
            <w:tcBorders>
              <w:top w:val="nil"/>
              <w:left w:val="nil"/>
              <w:bottom w:val="dotted" w:sz="4" w:space="0" w:color="auto"/>
              <w:right w:val="double" w:sz="6" w:space="0" w:color="auto"/>
            </w:tcBorders>
            <w:shd w:val="clear" w:color="auto" w:fill="auto"/>
            <w:noWrap/>
            <w:vAlign w:val="center"/>
            <w:hideMark/>
          </w:tcPr>
          <w:p w14:paraId="1C2C4DAD" w14:textId="77777777" w:rsidR="00AD66A6" w:rsidRPr="00793836" w:rsidRDefault="00AD66A6" w:rsidP="0038698C">
            <w:pPr>
              <w:jc w:val="right"/>
              <w:rPr>
                <w:rFonts w:eastAsia="Times New Roman" w:cs="Arial"/>
                <w:color w:val="000000"/>
                <w:sz w:val="12"/>
                <w:szCs w:val="12"/>
              </w:rPr>
            </w:pPr>
            <w:r w:rsidRPr="00325F25">
              <w:rPr>
                <w:rFonts w:eastAsia="Times New Roman" w:cs="Arial"/>
                <w:color w:val="000000"/>
                <w:sz w:val="12"/>
                <w:szCs w:val="12"/>
                <w:lang w:val="es-ES_tradnl"/>
              </w:rPr>
              <w:t xml:space="preserve">                          </w:t>
            </w:r>
            <w:r w:rsidRPr="00793836">
              <w:rPr>
                <w:rFonts w:eastAsia="Times New Roman" w:cs="Arial"/>
                <w:color w:val="000000"/>
                <w:sz w:val="12"/>
                <w:szCs w:val="12"/>
              </w:rPr>
              <w:t xml:space="preserve">-   </w:t>
            </w:r>
          </w:p>
        </w:tc>
      </w:tr>
      <w:tr w:rsidR="00AD66A6" w:rsidRPr="00793836" w14:paraId="782CF4EB" w14:textId="77777777" w:rsidTr="00AD66A6">
        <w:trPr>
          <w:trHeight w:val="289"/>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7A747778"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1.0 Recursos humanos (RH)</w:t>
            </w:r>
          </w:p>
        </w:tc>
        <w:tc>
          <w:tcPr>
            <w:tcW w:w="376" w:type="pct"/>
            <w:tcBorders>
              <w:top w:val="nil"/>
              <w:left w:val="nil"/>
              <w:bottom w:val="dotted" w:sz="4" w:space="0" w:color="auto"/>
              <w:right w:val="dotted" w:sz="4" w:space="0" w:color="auto"/>
            </w:tcBorders>
            <w:shd w:val="clear" w:color="auto" w:fill="auto"/>
            <w:vAlign w:val="center"/>
            <w:hideMark/>
          </w:tcPr>
          <w:p w14:paraId="6118249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3.736.</w:t>
            </w:r>
            <w:r w:rsidRPr="00793836">
              <w:rPr>
                <w:rFonts w:eastAsia="Times New Roman" w:cs="Arial"/>
                <w:color w:val="000000"/>
                <w:sz w:val="12"/>
                <w:szCs w:val="12"/>
              </w:rPr>
              <w:t>254</w:t>
            </w:r>
          </w:p>
        </w:tc>
        <w:tc>
          <w:tcPr>
            <w:tcW w:w="329" w:type="pct"/>
            <w:tcBorders>
              <w:top w:val="nil"/>
              <w:left w:val="nil"/>
              <w:bottom w:val="dotted" w:sz="4" w:space="0" w:color="auto"/>
              <w:right w:val="dotted" w:sz="4" w:space="0" w:color="auto"/>
            </w:tcBorders>
            <w:shd w:val="clear" w:color="auto" w:fill="auto"/>
            <w:vAlign w:val="center"/>
            <w:hideMark/>
          </w:tcPr>
          <w:p w14:paraId="76408134"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1.513.</w:t>
            </w:r>
            <w:r w:rsidRPr="00793836">
              <w:rPr>
                <w:rFonts w:eastAsia="Times New Roman" w:cs="Arial"/>
                <w:color w:val="000000"/>
                <w:sz w:val="12"/>
                <w:szCs w:val="12"/>
              </w:rPr>
              <w:t>300</w:t>
            </w:r>
          </w:p>
        </w:tc>
        <w:tc>
          <w:tcPr>
            <w:tcW w:w="337" w:type="pct"/>
            <w:tcBorders>
              <w:top w:val="nil"/>
              <w:left w:val="nil"/>
              <w:bottom w:val="dotted" w:sz="4" w:space="0" w:color="auto"/>
              <w:right w:val="dotted" w:sz="4" w:space="0" w:color="auto"/>
            </w:tcBorders>
            <w:shd w:val="clear" w:color="auto" w:fill="auto"/>
            <w:noWrap/>
            <w:vAlign w:val="center"/>
            <w:hideMark/>
          </w:tcPr>
          <w:p w14:paraId="23A9AB9E"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2.222.</w:t>
            </w:r>
            <w:r w:rsidRPr="00793836">
              <w:rPr>
                <w:rFonts w:eastAsia="Times New Roman" w:cs="Arial"/>
                <w:color w:val="000000"/>
                <w:sz w:val="12"/>
                <w:szCs w:val="12"/>
              </w:rPr>
              <w:t>954</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3F298C7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nil"/>
              <w:bottom w:val="dotted" w:sz="4" w:space="0" w:color="auto"/>
              <w:right w:val="dotted" w:sz="4" w:space="0" w:color="auto"/>
            </w:tcBorders>
            <w:shd w:val="clear" w:color="auto" w:fill="auto"/>
            <w:noWrap/>
            <w:vAlign w:val="center"/>
            <w:hideMark/>
          </w:tcPr>
          <w:p w14:paraId="37FE705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7.472.</w:t>
            </w:r>
            <w:r w:rsidRPr="00793836">
              <w:rPr>
                <w:rFonts w:eastAsia="Times New Roman" w:cs="Arial"/>
                <w:color w:val="000000"/>
                <w:sz w:val="12"/>
                <w:szCs w:val="12"/>
              </w:rPr>
              <w:t xml:space="preserve">508 </w:t>
            </w:r>
          </w:p>
        </w:tc>
        <w:tc>
          <w:tcPr>
            <w:tcW w:w="369" w:type="pct"/>
            <w:tcBorders>
              <w:top w:val="nil"/>
              <w:left w:val="nil"/>
              <w:bottom w:val="dotted" w:sz="4" w:space="0" w:color="auto"/>
              <w:right w:val="dotted" w:sz="4" w:space="0" w:color="auto"/>
            </w:tcBorders>
            <w:shd w:val="clear" w:color="auto" w:fill="auto"/>
            <w:noWrap/>
            <w:vAlign w:val="center"/>
            <w:hideMark/>
          </w:tcPr>
          <w:p w14:paraId="3727D16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3.026.</w:t>
            </w:r>
            <w:r w:rsidRPr="00793836">
              <w:rPr>
                <w:rFonts w:eastAsia="Times New Roman" w:cs="Arial"/>
                <w:color w:val="000000"/>
                <w:sz w:val="12"/>
                <w:szCs w:val="12"/>
              </w:rPr>
              <w:t xml:space="preserve">600 </w:t>
            </w:r>
          </w:p>
        </w:tc>
        <w:tc>
          <w:tcPr>
            <w:tcW w:w="359" w:type="pct"/>
            <w:tcBorders>
              <w:top w:val="nil"/>
              <w:left w:val="nil"/>
              <w:bottom w:val="dotted" w:sz="4" w:space="0" w:color="auto"/>
              <w:right w:val="dotted" w:sz="4" w:space="0" w:color="auto"/>
            </w:tcBorders>
            <w:shd w:val="clear" w:color="auto" w:fill="auto"/>
            <w:noWrap/>
            <w:vAlign w:val="center"/>
            <w:hideMark/>
          </w:tcPr>
          <w:p w14:paraId="0D985D0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4.445.</w:t>
            </w:r>
            <w:r w:rsidRPr="00793836">
              <w:rPr>
                <w:rFonts w:eastAsia="Times New Roman" w:cs="Arial"/>
                <w:color w:val="000000"/>
                <w:sz w:val="12"/>
                <w:szCs w:val="12"/>
              </w:rPr>
              <w:t xml:space="preserve">908 </w:t>
            </w:r>
          </w:p>
        </w:tc>
        <w:tc>
          <w:tcPr>
            <w:tcW w:w="174" w:type="pct"/>
            <w:tcBorders>
              <w:top w:val="nil"/>
              <w:left w:val="nil"/>
              <w:bottom w:val="dotted" w:sz="4" w:space="0" w:color="auto"/>
              <w:right w:val="double" w:sz="6" w:space="0" w:color="auto"/>
            </w:tcBorders>
            <w:shd w:val="clear" w:color="auto" w:fill="auto"/>
            <w:noWrap/>
            <w:vAlign w:val="bottom"/>
            <w:hideMark/>
          </w:tcPr>
          <w:p w14:paraId="29362A91"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xxx</w:t>
            </w:r>
          </w:p>
        </w:tc>
        <w:tc>
          <w:tcPr>
            <w:tcW w:w="81" w:type="pct"/>
            <w:tcBorders>
              <w:top w:val="nil"/>
              <w:left w:val="nil"/>
              <w:bottom w:val="nil"/>
              <w:right w:val="nil"/>
            </w:tcBorders>
            <w:shd w:val="clear" w:color="auto" w:fill="auto"/>
            <w:noWrap/>
            <w:vAlign w:val="bottom"/>
            <w:hideMark/>
          </w:tcPr>
          <w:p w14:paraId="1E0BBFAA"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43C49F1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3.736.</w:t>
            </w:r>
            <w:r w:rsidRPr="00793836">
              <w:rPr>
                <w:rFonts w:eastAsia="Times New Roman" w:cs="Arial"/>
                <w:color w:val="000000"/>
                <w:sz w:val="12"/>
                <w:szCs w:val="12"/>
              </w:rPr>
              <w:t xml:space="preserve">254 </w:t>
            </w:r>
          </w:p>
        </w:tc>
        <w:tc>
          <w:tcPr>
            <w:tcW w:w="359" w:type="pct"/>
            <w:tcBorders>
              <w:top w:val="nil"/>
              <w:left w:val="nil"/>
              <w:bottom w:val="dotted" w:sz="4" w:space="0" w:color="auto"/>
              <w:right w:val="dotted" w:sz="4" w:space="0" w:color="auto"/>
            </w:tcBorders>
            <w:shd w:val="clear" w:color="auto" w:fill="auto"/>
            <w:noWrap/>
            <w:vAlign w:val="center"/>
            <w:hideMark/>
          </w:tcPr>
          <w:p w14:paraId="691745D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1.513.</w:t>
            </w:r>
            <w:r w:rsidRPr="00793836">
              <w:rPr>
                <w:rFonts w:eastAsia="Times New Roman" w:cs="Arial"/>
                <w:color w:val="000000"/>
                <w:sz w:val="12"/>
                <w:szCs w:val="12"/>
              </w:rPr>
              <w:t xml:space="preserve">300 </w:t>
            </w:r>
          </w:p>
        </w:tc>
        <w:tc>
          <w:tcPr>
            <w:tcW w:w="366" w:type="pct"/>
            <w:tcBorders>
              <w:top w:val="nil"/>
              <w:left w:val="nil"/>
              <w:bottom w:val="dotted" w:sz="4" w:space="0" w:color="auto"/>
              <w:right w:val="double" w:sz="6" w:space="0" w:color="auto"/>
            </w:tcBorders>
            <w:shd w:val="clear" w:color="auto" w:fill="auto"/>
            <w:noWrap/>
            <w:vAlign w:val="center"/>
            <w:hideMark/>
          </w:tcPr>
          <w:p w14:paraId="3CDFFE5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2.222.</w:t>
            </w:r>
            <w:r w:rsidRPr="00793836">
              <w:rPr>
                <w:rFonts w:eastAsia="Times New Roman" w:cs="Arial"/>
                <w:color w:val="000000"/>
                <w:sz w:val="12"/>
                <w:szCs w:val="12"/>
              </w:rPr>
              <w:t xml:space="preserve">954 </w:t>
            </w:r>
          </w:p>
        </w:tc>
      </w:tr>
      <w:tr w:rsidR="00AD66A6" w:rsidRPr="00793836" w14:paraId="449255FC" w14:textId="77777777" w:rsidTr="00AD66A6">
        <w:trPr>
          <w:trHeight w:val="160"/>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6FBCC6BE"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2.0 Gastos de viaje </w:t>
            </w:r>
          </w:p>
        </w:tc>
        <w:tc>
          <w:tcPr>
            <w:tcW w:w="376" w:type="pct"/>
            <w:tcBorders>
              <w:top w:val="nil"/>
              <w:left w:val="nil"/>
              <w:bottom w:val="dotted" w:sz="4" w:space="0" w:color="auto"/>
              <w:right w:val="dotted" w:sz="4" w:space="0" w:color="auto"/>
            </w:tcBorders>
            <w:shd w:val="clear" w:color="auto" w:fill="auto"/>
            <w:vAlign w:val="center"/>
            <w:hideMark/>
          </w:tcPr>
          <w:p w14:paraId="38214C1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4.432.</w:t>
            </w:r>
            <w:r w:rsidRPr="00793836">
              <w:rPr>
                <w:rFonts w:eastAsia="Times New Roman" w:cs="Arial"/>
                <w:color w:val="000000"/>
                <w:sz w:val="12"/>
                <w:szCs w:val="12"/>
              </w:rPr>
              <w:t>379</w:t>
            </w:r>
          </w:p>
        </w:tc>
        <w:tc>
          <w:tcPr>
            <w:tcW w:w="329" w:type="pct"/>
            <w:tcBorders>
              <w:top w:val="nil"/>
              <w:left w:val="nil"/>
              <w:bottom w:val="dotted" w:sz="4" w:space="0" w:color="auto"/>
              <w:right w:val="dotted" w:sz="4" w:space="0" w:color="auto"/>
            </w:tcBorders>
            <w:shd w:val="clear" w:color="auto" w:fill="auto"/>
            <w:vAlign w:val="center"/>
            <w:hideMark/>
          </w:tcPr>
          <w:p w14:paraId="70715CA1"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661.</w:t>
            </w:r>
            <w:r w:rsidRPr="00793836">
              <w:rPr>
                <w:rFonts w:eastAsia="Times New Roman" w:cs="Arial"/>
                <w:color w:val="000000"/>
                <w:sz w:val="12"/>
                <w:szCs w:val="12"/>
              </w:rPr>
              <w:t>650</w:t>
            </w:r>
          </w:p>
        </w:tc>
        <w:tc>
          <w:tcPr>
            <w:tcW w:w="337" w:type="pct"/>
            <w:tcBorders>
              <w:top w:val="nil"/>
              <w:left w:val="nil"/>
              <w:bottom w:val="dotted" w:sz="4" w:space="0" w:color="auto"/>
              <w:right w:val="dotted" w:sz="4" w:space="0" w:color="auto"/>
            </w:tcBorders>
            <w:shd w:val="clear" w:color="auto" w:fill="auto"/>
            <w:noWrap/>
            <w:vAlign w:val="center"/>
            <w:hideMark/>
          </w:tcPr>
          <w:p w14:paraId="47FB8ED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3.770.</w:t>
            </w:r>
            <w:r w:rsidRPr="00793836">
              <w:rPr>
                <w:rFonts w:eastAsia="Times New Roman" w:cs="Arial"/>
                <w:color w:val="000000"/>
                <w:sz w:val="12"/>
                <w:szCs w:val="12"/>
              </w:rPr>
              <w:t>729</w:t>
            </w:r>
          </w:p>
        </w:tc>
        <w:tc>
          <w:tcPr>
            <w:tcW w:w="309" w:type="pct"/>
            <w:tcBorders>
              <w:top w:val="nil"/>
              <w:left w:val="dotted" w:sz="4" w:space="0" w:color="auto"/>
              <w:bottom w:val="dotted" w:sz="4" w:space="0" w:color="auto"/>
              <w:right w:val="single" w:sz="8" w:space="0" w:color="auto"/>
            </w:tcBorders>
            <w:shd w:val="clear" w:color="auto" w:fill="auto"/>
            <w:vAlign w:val="center"/>
            <w:hideMark/>
          </w:tcPr>
          <w:p w14:paraId="18A4903A"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nil"/>
              <w:bottom w:val="dotted" w:sz="4" w:space="0" w:color="auto"/>
              <w:right w:val="dotted" w:sz="4" w:space="0" w:color="auto"/>
            </w:tcBorders>
            <w:shd w:val="clear" w:color="auto" w:fill="auto"/>
            <w:noWrap/>
            <w:vAlign w:val="center"/>
            <w:hideMark/>
          </w:tcPr>
          <w:p w14:paraId="7C3DAFA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5.632.</w:t>
            </w:r>
            <w:r w:rsidRPr="00793836">
              <w:rPr>
                <w:rFonts w:eastAsia="Times New Roman" w:cs="Arial"/>
                <w:color w:val="000000"/>
                <w:sz w:val="12"/>
                <w:szCs w:val="12"/>
              </w:rPr>
              <w:t xml:space="preserve">724 </w:t>
            </w:r>
          </w:p>
        </w:tc>
        <w:tc>
          <w:tcPr>
            <w:tcW w:w="369" w:type="pct"/>
            <w:tcBorders>
              <w:top w:val="nil"/>
              <w:left w:val="nil"/>
              <w:bottom w:val="dotted" w:sz="4" w:space="0" w:color="auto"/>
              <w:right w:val="dotted" w:sz="4" w:space="0" w:color="auto"/>
            </w:tcBorders>
            <w:shd w:val="clear" w:color="auto" w:fill="auto"/>
            <w:noWrap/>
            <w:vAlign w:val="center"/>
            <w:hideMark/>
          </w:tcPr>
          <w:p w14:paraId="658958E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1.982.</w:t>
            </w:r>
            <w:r w:rsidRPr="00793836">
              <w:rPr>
                <w:rFonts w:eastAsia="Times New Roman" w:cs="Arial"/>
                <w:color w:val="000000"/>
                <w:sz w:val="12"/>
                <w:szCs w:val="12"/>
              </w:rPr>
              <w:t xml:space="preserve">649 </w:t>
            </w:r>
          </w:p>
        </w:tc>
        <w:tc>
          <w:tcPr>
            <w:tcW w:w="359" w:type="pct"/>
            <w:tcBorders>
              <w:top w:val="nil"/>
              <w:left w:val="nil"/>
              <w:bottom w:val="dotted" w:sz="4" w:space="0" w:color="auto"/>
              <w:right w:val="dotted" w:sz="4" w:space="0" w:color="auto"/>
            </w:tcBorders>
            <w:shd w:val="clear" w:color="auto" w:fill="auto"/>
            <w:noWrap/>
            <w:vAlign w:val="center"/>
            <w:hideMark/>
          </w:tcPr>
          <w:p w14:paraId="6125C7F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3.650.</w:t>
            </w:r>
            <w:r w:rsidRPr="00793836">
              <w:rPr>
                <w:rFonts w:eastAsia="Times New Roman" w:cs="Arial"/>
                <w:color w:val="000000"/>
                <w:sz w:val="12"/>
                <w:szCs w:val="12"/>
              </w:rPr>
              <w:t xml:space="preserve">075 </w:t>
            </w:r>
          </w:p>
        </w:tc>
        <w:tc>
          <w:tcPr>
            <w:tcW w:w="174" w:type="pct"/>
            <w:tcBorders>
              <w:top w:val="nil"/>
              <w:left w:val="nil"/>
              <w:bottom w:val="dotted" w:sz="4" w:space="0" w:color="auto"/>
              <w:right w:val="double" w:sz="6" w:space="0" w:color="auto"/>
            </w:tcBorders>
            <w:shd w:val="clear" w:color="auto" w:fill="auto"/>
            <w:noWrap/>
            <w:vAlign w:val="bottom"/>
            <w:hideMark/>
          </w:tcPr>
          <w:p w14:paraId="0175A508"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xxx</w:t>
            </w:r>
          </w:p>
        </w:tc>
        <w:tc>
          <w:tcPr>
            <w:tcW w:w="81" w:type="pct"/>
            <w:tcBorders>
              <w:top w:val="nil"/>
              <w:left w:val="nil"/>
              <w:bottom w:val="nil"/>
              <w:right w:val="nil"/>
            </w:tcBorders>
            <w:shd w:val="clear" w:color="auto" w:fill="auto"/>
            <w:noWrap/>
            <w:vAlign w:val="bottom"/>
            <w:hideMark/>
          </w:tcPr>
          <w:p w14:paraId="1948C3E7"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17903DE7"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1.200.</w:t>
            </w:r>
            <w:r w:rsidRPr="00793836">
              <w:rPr>
                <w:rFonts w:eastAsia="Times New Roman" w:cs="Arial"/>
                <w:color w:val="000000"/>
                <w:sz w:val="12"/>
                <w:szCs w:val="12"/>
              </w:rPr>
              <w:t xml:space="preserve">345 </w:t>
            </w:r>
          </w:p>
        </w:tc>
        <w:tc>
          <w:tcPr>
            <w:tcW w:w="359" w:type="pct"/>
            <w:tcBorders>
              <w:top w:val="nil"/>
              <w:left w:val="nil"/>
              <w:bottom w:val="dotted" w:sz="4" w:space="0" w:color="auto"/>
              <w:right w:val="dotted" w:sz="4" w:space="0" w:color="auto"/>
            </w:tcBorders>
            <w:shd w:val="clear" w:color="auto" w:fill="auto"/>
            <w:noWrap/>
            <w:vAlign w:val="center"/>
            <w:hideMark/>
          </w:tcPr>
          <w:p w14:paraId="13A382C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1.320.</w:t>
            </w:r>
            <w:r w:rsidRPr="00793836">
              <w:rPr>
                <w:rFonts w:eastAsia="Times New Roman" w:cs="Arial"/>
                <w:color w:val="000000"/>
                <w:sz w:val="12"/>
                <w:szCs w:val="12"/>
              </w:rPr>
              <w:t xml:space="preserve">999 </w:t>
            </w:r>
          </w:p>
        </w:tc>
        <w:tc>
          <w:tcPr>
            <w:tcW w:w="366" w:type="pct"/>
            <w:tcBorders>
              <w:top w:val="nil"/>
              <w:left w:val="nil"/>
              <w:bottom w:val="dotted" w:sz="4" w:space="0" w:color="auto"/>
              <w:right w:val="double" w:sz="6" w:space="0" w:color="auto"/>
            </w:tcBorders>
            <w:shd w:val="clear" w:color="auto" w:fill="auto"/>
            <w:noWrap/>
            <w:vAlign w:val="center"/>
            <w:hideMark/>
          </w:tcPr>
          <w:p w14:paraId="02DBC7F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(120.</w:t>
            </w:r>
            <w:r w:rsidRPr="00793836">
              <w:rPr>
                <w:rFonts w:eastAsia="Times New Roman" w:cs="Arial"/>
                <w:color w:val="000000"/>
                <w:sz w:val="12"/>
                <w:szCs w:val="12"/>
              </w:rPr>
              <w:t>654)</w:t>
            </w:r>
          </w:p>
        </w:tc>
      </w:tr>
      <w:tr w:rsidR="00AD66A6" w:rsidRPr="00793836" w14:paraId="0BF5466A" w14:textId="77777777" w:rsidTr="00AD66A6">
        <w:trPr>
          <w:trHeight w:val="195"/>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3CF9762F"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3.0 Servicios profesionales externos </w:t>
            </w:r>
          </w:p>
        </w:tc>
        <w:tc>
          <w:tcPr>
            <w:tcW w:w="376" w:type="pct"/>
            <w:tcBorders>
              <w:top w:val="nil"/>
              <w:left w:val="nil"/>
              <w:bottom w:val="dotted" w:sz="4" w:space="0" w:color="auto"/>
              <w:right w:val="dotted" w:sz="4" w:space="0" w:color="auto"/>
            </w:tcBorders>
            <w:shd w:val="clear" w:color="auto" w:fill="auto"/>
            <w:vAlign w:val="center"/>
            <w:hideMark/>
          </w:tcPr>
          <w:p w14:paraId="4937C2C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521.</w:t>
            </w:r>
            <w:r w:rsidRPr="00793836">
              <w:rPr>
                <w:rFonts w:eastAsia="Times New Roman" w:cs="Arial"/>
                <w:color w:val="000000"/>
                <w:sz w:val="12"/>
                <w:szCs w:val="12"/>
              </w:rPr>
              <w:t>527</w:t>
            </w:r>
          </w:p>
        </w:tc>
        <w:tc>
          <w:tcPr>
            <w:tcW w:w="329" w:type="pct"/>
            <w:tcBorders>
              <w:top w:val="nil"/>
              <w:left w:val="nil"/>
              <w:bottom w:val="dotted" w:sz="4" w:space="0" w:color="auto"/>
              <w:right w:val="dotted" w:sz="4" w:space="0" w:color="auto"/>
            </w:tcBorders>
            <w:shd w:val="clear" w:color="auto" w:fill="auto"/>
            <w:vAlign w:val="center"/>
            <w:hideMark/>
          </w:tcPr>
          <w:p w14:paraId="7B379CE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175.</w:t>
            </w:r>
            <w:r w:rsidRPr="00793836">
              <w:rPr>
                <w:rFonts w:eastAsia="Times New Roman" w:cs="Arial"/>
                <w:color w:val="000000"/>
                <w:sz w:val="12"/>
                <w:szCs w:val="12"/>
              </w:rPr>
              <w:t>724</w:t>
            </w:r>
          </w:p>
        </w:tc>
        <w:tc>
          <w:tcPr>
            <w:tcW w:w="337" w:type="pct"/>
            <w:tcBorders>
              <w:top w:val="nil"/>
              <w:left w:val="nil"/>
              <w:bottom w:val="dotted" w:sz="4" w:space="0" w:color="auto"/>
              <w:right w:val="dotted" w:sz="4" w:space="0" w:color="auto"/>
            </w:tcBorders>
            <w:shd w:val="clear" w:color="auto" w:fill="auto"/>
            <w:noWrap/>
            <w:vAlign w:val="center"/>
            <w:hideMark/>
          </w:tcPr>
          <w:p w14:paraId="1F8C84D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345.</w:t>
            </w:r>
            <w:r w:rsidRPr="00793836">
              <w:rPr>
                <w:rFonts w:eastAsia="Times New Roman" w:cs="Arial"/>
                <w:color w:val="000000"/>
                <w:sz w:val="12"/>
                <w:szCs w:val="12"/>
              </w:rPr>
              <w:t>803</w:t>
            </w:r>
          </w:p>
        </w:tc>
        <w:tc>
          <w:tcPr>
            <w:tcW w:w="309" w:type="pct"/>
            <w:tcBorders>
              <w:top w:val="dotted" w:sz="4" w:space="0" w:color="auto"/>
              <w:left w:val="nil"/>
              <w:bottom w:val="dotted" w:sz="4" w:space="0" w:color="auto"/>
              <w:right w:val="nil"/>
            </w:tcBorders>
            <w:shd w:val="clear" w:color="auto" w:fill="auto"/>
            <w:vAlign w:val="center"/>
            <w:hideMark/>
          </w:tcPr>
          <w:p w14:paraId="6CD039D6"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0B47C6E0"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w:t>
            </w:r>
            <w:r>
              <w:rPr>
                <w:rFonts w:eastAsia="Times New Roman" w:cs="Arial"/>
                <w:color w:val="000000"/>
                <w:sz w:val="12"/>
                <w:szCs w:val="12"/>
              </w:rPr>
              <w:t xml:space="preserve">        752.</w:t>
            </w:r>
            <w:r w:rsidRPr="00793836">
              <w:rPr>
                <w:rFonts w:eastAsia="Times New Roman" w:cs="Arial"/>
                <w:color w:val="000000"/>
                <w:sz w:val="12"/>
                <w:szCs w:val="12"/>
              </w:rPr>
              <w:t xml:space="preserve">527 </w:t>
            </w:r>
          </w:p>
        </w:tc>
        <w:tc>
          <w:tcPr>
            <w:tcW w:w="369" w:type="pct"/>
            <w:tcBorders>
              <w:top w:val="nil"/>
              <w:left w:val="nil"/>
              <w:bottom w:val="dotted" w:sz="4" w:space="0" w:color="auto"/>
              <w:right w:val="dotted" w:sz="4" w:space="0" w:color="auto"/>
            </w:tcBorders>
            <w:shd w:val="clear" w:color="auto" w:fill="auto"/>
            <w:noWrap/>
            <w:vAlign w:val="center"/>
            <w:hideMark/>
          </w:tcPr>
          <w:p w14:paraId="5BA523D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185.</w:t>
            </w:r>
            <w:r w:rsidRPr="00793836">
              <w:rPr>
                <w:rFonts w:eastAsia="Times New Roman" w:cs="Arial"/>
                <w:color w:val="000000"/>
                <w:sz w:val="12"/>
                <w:szCs w:val="12"/>
              </w:rPr>
              <w:t xml:space="preserve">724 </w:t>
            </w:r>
          </w:p>
        </w:tc>
        <w:tc>
          <w:tcPr>
            <w:tcW w:w="359" w:type="pct"/>
            <w:tcBorders>
              <w:top w:val="nil"/>
              <w:left w:val="nil"/>
              <w:bottom w:val="dotted" w:sz="4" w:space="0" w:color="auto"/>
              <w:right w:val="dotted" w:sz="4" w:space="0" w:color="auto"/>
            </w:tcBorders>
            <w:shd w:val="clear" w:color="auto" w:fill="auto"/>
            <w:noWrap/>
            <w:vAlign w:val="center"/>
            <w:hideMark/>
          </w:tcPr>
          <w:p w14:paraId="695DC0B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566.</w:t>
            </w:r>
            <w:r w:rsidRPr="00793836">
              <w:rPr>
                <w:rFonts w:eastAsia="Times New Roman" w:cs="Arial"/>
                <w:color w:val="000000"/>
                <w:sz w:val="12"/>
                <w:szCs w:val="12"/>
              </w:rPr>
              <w:t xml:space="preserve">803 </w:t>
            </w:r>
          </w:p>
        </w:tc>
        <w:tc>
          <w:tcPr>
            <w:tcW w:w="174" w:type="pct"/>
            <w:tcBorders>
              <w:top w:val="nil"/>
              <w:left w:val="nil"/>
              <w:bottom w:val="dotted" w:sz="4" w:space="0" w:color="auto"/>
              <w:right w:val="double" w:sz="6" w:space="0" w:color="auto"/>
            </w:tcBorders>
            <w:shd w:val="clear" w:color="auto" w:fill="auto"/>
            <w:noWrap/>
            <w:vAlign w:val="bottom"/>
            <w:hideMark/>
          </w:tcPr>
          <w:p w14:paraId="4CB7B1E8"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3E30E14E"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744046D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231.</w:t>
            </w:r>
            <w:r w:rsidRPr="00793836">
              <w:rPr>
                <w:rFonts w:eastAsia="Times New Roman" w:cs="Arial"/>
                <w:color w:val="000000"/>
                <w:sz w:val="12"/>
                <w:szCs w:val="12"/>
              </w:rPr>
              <w:t xml:space="preserve">000 </w:t>
            </w:r>
          </w:p>
        </w:tc>
        <w:tc>
          <w:tcPr>
            <w:tcW w:w="359" w:type="pct"/>
            <w:tcBorders>
              <w:top w:val="nil"/>
              <w:left w:val="nil"/>
              <w:bottom w:val="dotted" w:sz="4" w:space="0" w:color="auto"/>
              <w:right w:val="dotted" w:sz="4" w:space="0" w:color="auto"/>
            </w:tcBorders>
            <w:shd w:val="clear" w:color="auto" w:fill="auto"/>
            <w:noWrap/>
            <w:vAlign w:val="center"/>
            <w:hideMark/>
          </w:tcPr>
          <w:p w14:paraId="60EBDB8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10.</w:t>
            </w:r>
            <w:r w:rsidRPr="00793836">
              <w:rPr>
                <w:rFonts w:eastAsia="Times New Roman" w:cs="Arial"/>
                <w:color w:val="000000"/>
                <w:sz w:val="12"/>
                <w:szCs w:val="12"/>
              </w:rPr>
              <w:t xml:space="preserve">000 </w:t>
            </w:r>
          </w:p>
        </w:tc>
        <w:tc>
          <w:tcPr>
            <w:tcW w:w="366" w:type="pct"/>
            <w:tcBorders>
              <w:top w:val="nil"/>
              <w:left w:val="nil"/>
              <w:bottom w:val="dotted" w:sz="4" w:space="0" w:color="auto"/>
              <w:right w:val="double" w:sz="6" w:space="0" w:color="auto"/>
            </w:tcBorders>
            <w:shd w:val="clear" w:color="auto" w:fill="auto"/>
            <w:noWrap/>
            <w:vAlign w:val="center"/>
            <w:hideMark/>
          </w:tcPr>
          <w:p w14:paraId="535200C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221.</w:t>
            </w:r>
            <w:r w:rsidRPr="00793836">
              <w:rPr>
                <w:rFonts w:eastAsia="Times New Roman" w:cs="Arial"/>
                <w:color w:val="000000"/>
                <w:sz w:val="12"/>
                <w:szCs w:val="12"/>
              </w:rPr>
              <w:t xml:space="preserve">000 </w:t>
            </w:r>
          </w:p>
        </w:tc>
      </w:tr>
      <w:tr w:rsidR="00AD66A6" w:rsidRPr="00793836" w14:paraId="34E34105" w14:textId="77777777" w:rsidTr="00AD66A6">
        <w:trPr>
          <w:trHeight w:val="213"/>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5B9AFBBD"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4.0 Productos sanitarios</w:t>
            </w:r>
            <w:r>
              <w:rPr>
                <w:rFonts w:eastAsia="Times New Roman" w:cs="Arial"/>
                <w:color w:val="000000"/>
                <w:sz w:val="12"/>
                <w:szCs w:val="12"/>
                <w:lang w:val="es-ES_tradnl"/>
              </w:rPr>
              <w:t>: productos farmacéuticos</w:t>
            </w:r>
          </w:p>
        </w:tc>
        <w:tc>
          <w:tcPr>
            <w:tcW w:w="376" w:type="pct"/>
            <w:tcBorders>
              <w:top w:val="nil"/>
              <w:left w:val="nil"/>
              <w:bottom w:val="dotted" w:sz="4" w:space="0" w:color="auto"/>
              <w:right w:val="dotted" w:sz="4" w:space="0" w:color="auto"/>
            </w:tcBorders>
            <w:shd w:val="clear" w:color="auto" w:fill="auto"/>
            <w:vAlign w:val="center"/>
            <w:hideMark/>
          </w:tcPr>
          <w:p w14:paraId="63B87A71"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3.736.</w:t>
            </w:r>
            <w:r w:rsidRPr="00793836">
              <w:rPr>
                <w:rFonts w:eastAsia="Times New Roman" w:cs="Arial"/>
                <w:color w:val="000000"/>
                <w:sz w:val="12"/>
                <w:szCs w:val="12"/>
              </w:rPr>
              <w:t>254</w:t>
            </w:r>
          </w:p>
        </w:tc>
        <w:tc>
          <w:tcPr>
            <w:tcW w:w="329" w:type="pct"/>
            <w:tcBorders>
              <w:top w:val="nil"/>
              <w:left w:val="nil"/>
              <w:bottom w:val="dotted" w:sz="4" w:space="0" w:color="auto"/>
              <w:right w:val="dotted" w:sz="4" w:space="0" w:color="auto"/>
            </w:tcBorders>
            <w:shd w:val="clear" w:color="auto" w:fill="auto"/>
            <w:vAlign w:val="center"/>
            <w:hideMark/>
          </w:tcPr>
          <w:p w14:paraId="373E39C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1.513.</w:t>
            </w:r>
            <w:r w:rsidRPr="00793836">
              <w:rPr>
                <w:rFonts w:eastAsia="Times New Roman" w:cs="Arial"/>
                <w:color w:val="000000"/>
                <w:sz w:val="12"/>
                <w:szCs w:val="12"/>
              </w:rPr>
              <w:t>300</w:t>
            </w:r>
          </w:p>
        </w:tc>
        <w:tc>
          <w:tcPr>
            <w:tcW w:w="337" w:type="pct"/>
            <w:tcBorders>
              <w:top w:val="nil"/>
              <w:left w:val="nil"/>
              <w:bottom w:val="dotted" w:sz="4" w:space="0" w:color="auto"/>
              <w:right w:val="dotted" w:sz="4" w:space="0" w:color="auto"/>
            </w:tcBorders>
            <w:shd w:val="clear" w:color="auto" w:fill="auto"/>
            <w:noWrap/>
            <w:vAlign w:val="center"/>
            <w:hideMark/>
          </w:tcPr>
          <w:p w14:paraId="693AB937"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2.222.</w:t>
            </w:r>
            <w:r w:rsidRPr="00793836">
              <w:rPr>
                <w:rFonts w:eastAsia="Times New Roman" w:cs="Arial"/>
                <w:color w:val="000000"/>
                <w:sz w:val="12"/>
                <w:szCs w:val="12"/>
              </w:rPr>
              <w:t>954</w:t>
            </w:r>
          </w:p>
        </w:tc>
        <w:tc>
          <w:tcPr>
            <w:tcW w:w="309" w:type="pct"/>
            <w:tcBorders>
              <w:top w:val="nil"/>
              <w:left w:val="nil"/>
              <w:bottom w:val="dotted" w:sz="4" w:space="0" w:color="auto"/>
              <w:right w:val="nil"/>
            </w:tcBorders>
            <w:shd w:val="clear" w:color="auto" w:fill="auto"/>
            <w:vAlign w:val="center"/>
            <w:hideMark/>
          </w:tcPr>
          <w:p w14:paraId="0CE068D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1.205.</w:t>
            </w:r>
            <w:r w:rsidRPr="00793836">
              <w:rPr>
                <w:rFonts w:eastAsia="Times New Roman" w:cs="Arial"/>
                <w:color w:val="000000"/>
                <w:sz w:val="12"/>
                <w:szCs w:val="12"/>
              </w:rPr>
              <w:t>187</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1822F59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6.704.</w:t>
            </w:r>
            <w:r w:rsidRPr="00793836">
              <w:rPr>
                <w:rFonts w:eastAsia="Times New Roman" w:cs="Arial"/>
                <w:color w:val="000000"/>
                <w:sz w:val="12"/>
                <w:szCs w:val="12"/>
              </w:rPr>
              <w:t xml:space="preserve">988 </w:t>
            </w:r>
          </w:p>
        </w:tc>
        <w:tc>
          <w:tcPr>
            <w:tcW w:w="369" w:type="pct"/>
            <w:tcBorders>
              <w:top w:val="nil"/>
              <w:left w:val="nil"/>
              <w:bottom w:val="dotted" w:sz="4" w:space="0" w:color="auto"/>
              <w:right w:val="dotted" w:sz="4" w:space="0" w:color="auto"/>
            </w:tcBorders>
            <w:shd w:val="clear" w:color="auto" w:fill="auto"/>
            <w:noWrap/>
            <w:vAlign w:val="center"/>
            <w:hideMark/>
          </w:tcPr>
          <w:p w14:paraId="10349ADE"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3</w:t>
            </w:r>
            <w:r>
              <w:rPr>
                <w:rFonts w:eastAsia="Times New Roman" w:cs="Arial"/>
                <w:color w:val="000000"/>
                <w:sz w:val="12"/>
                <w:szCs w:val="12"/>
              </w:rPr>
              <w:t>.813.</w:t>
            </w:r>
            <w:r w:rsidRPr="00793836">
              <w:rPr>
                <w:rFonts w:eastAsia="Times New Roman" w:cs="Arial"/>
                <w:color w:val="000000"/>
                <w:sz w:val="12"/>
                <w:szCs w:val="12"/>
              </w:rPr>
              <w:t xml:space="preserve">859 </w:t>
            </w:r>
          </w:p>
        </w:tc>
        <w:tc>
          <w:tcPr>
            <w:tcW w:w="359" w:type="pct"/>
            <w:tcBorders>
              <w:top w:val="nil"/>
              <w:left w:val="nil"/>
              <w:bottom w:val="dotted" w:sz="4" w:space="0" w:color="auto"/>
              <w:right w:val="dotted" w:sz="4" w:space="0" w:color="auto"/>
            </w:tcBorders>
            <w:shd w:val="clear" w:color="auto" w:fill="auto"/>
            <w:noWrap/>
            <w:vAlign w:val="center"/>
            <w:hideMark/>
          </w:tcPr>
          <w:p w14:paraId="4D25F78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2.891.</w:t>
            </w:r>
            <w:r w:rsidRPr="00793836">
              <w:rPr>
                <w:rFonts w:eastAsia="Times New Roman" w:cs="Arial"/>
                <w:color w:val="000000"/>
                <w:sz w:val="12"/>
                <w:szCs w:val="12"/>
              </w:rPr>
              <w:t xml:space="preserve">129 </w:t>
            </w:r>
          </w:p>
        </w:tc>
        <w:tc>
          <w:tcPr>
            <w:tcW w:w="174" w:type="pct"/>
            <w:tcBorders>
              <w:top w:val="nil"/>
              <w:left w:val="nil"/>
              <w:bottom w:val="dotted" w:sz="4" w:space="0" w:color="auto"/>
              <w:right w:val="double" w:sz="6" w:space="0" w:color="auto"/>
            </w:tcBorders>
            <w:shd w:val="clear" w:color="auto" w:fill="auto"/>
            <w:noWrap/>
            <w:vAlign w:val="bottom"/>
            <w:hideMark/>
          </w:tcPr>
          <w:p w14:paraId="44962826"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4F8F0A6D"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3D8FE285"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2.968.</w:t>
            </w:r>
            <w:r w:rsidRPr="00793836">
              <w:rPr>
                <w:rFonts w:eastAsia="Times New Roman" w:cs="Arial"/>
                <w:color w:val="000000"/>
                <w:sz w:val="12"/>
                <w:szCs w:val="12"/>
              </w:rPr>
              <w:t xml:space="preserve">734 </w:t>
            </w:r>
          </w:p>
        </w:tc>
        <w:tc>
          <w:tcPr>
            <w:tcW w:w="359" w:type="pct"/>
            <w:tcBorders>
              <w:top w:val="nil"/>
              <w:left w:val="nil"/>
              <w:bottom w:val="dotted" w:sz="4" w:space="0" w:color="auto"/>
              <w:right w:val="dotted" w:sz="4" w:space="0" w:color="auto"/>
            </w:tcBorders>
            <w:shd w:val="clear" w:color="auto" w:fill="auto"/>
            <w:noWrap/>
            <w:vAlign w:val="center"/>
            <w:hideMark/>
          </w:tcPr>
          <w:p w14:paraId="53F1E9D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2.300.</w:t>
            </w:r>
            <w:r w:rsidRPr="00793836">
              <w:rPr>
                <w:rFonts w:eastAsia="Times New Roman" w:cs="Arial"/>
                <w:color w:val="000000"/>
                <w:sz w:val="12"/>
                <w:szCs w:val="12"/>
              </w:rPr>
              <w:t xml:space="preserve">559 </w:t>
            </w:r>
          </w:p>
        </w:tc>
        <w:tc>
          <w:tcPr>
            <w:tcW w:w="366" w:type="pct"/>
            <w:tcBorders>
              <w:top w:val="nil"/>
              <w:left w:val="nil"/>
              <w:bottom w:val="dotted" w:sz="4" w:space="0" w:color="auto"/>
              <w:right w:val="double" w:sz="6" w:space="0" w:color="auto"/>
            </w:tcBorders>
            <w:shd w:val="clear" w:color="auto" w:fill="auto"/>
            <w:noWrap/>
            <w:vAlign w:val="center"/>
            <w:hideMark/>
          </w:tcPr>
          <w:p w14:paraId="02A5FCE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668.</w:t>
            </w:r>
            <w:r w:rsidRPr="00793836">
              <w:rPr>
                <w:rFonts w:eastAsia="Times New Roman" w:cs="Arial"/>
                <w:color w:val="000000"/>
                <w:sz w:val="12"/>
                <w:szCs w:val="12"/>
              </w:rPr>
              <w:t xml:space="preserve">175 </w:t>
            </w:r>
          </w:p>
        </w:tc>
      </w:tr>
      <w:tr w:rsidR="00AD66A6" w:rsidRPr="00793836" w14:paraId="531DD45B" w14:textId="77777777" w:rsidTr="00AD66A6">
        <w:trPr>
          <w:trHeight w:val="238"/>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0D422B46"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5.0 Productos sanitarios</w:t>
            </w:r>
            <w:r>
              <w:rPr>
                <w:rFonts w:eastAsia="Times New Roman" w:cs="Arial"/>
                <w:color w:val="000000"/>
                <w:sz w:val="12"/>
                <w:szCs w:val="12"/>
                <w:lang w:val="es-ES_tradnl"/>
              </w:rPr>
              <w:t>: productos no farmacéuticos</w:t>
            </w:r>
          </w:p>
        </w:tc>
        <w:tc>
          <w:tcPr>
            <w:tcW w:w="376" w:type="pct"/>
            <w:tcBorders>
              <w:top w:val="nil"/>
              <w:left w:val="nil"/>
              <w:bottom w:val="dotted" w:sz="4" w:space="0" w:color="auto"/>
              <w:right w:val="dotted" w:sz="4" w:space="0" w:color="auto"/>
            </w:tcBorders>
            <w:shd w:val="clear" w:color="auto" w:fill="auto"/>
            <w:vAlign w:val="center"/>
            <w:hideMark/>
          </w:tcPr>
          <w:p w14:paraId="3E82C75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4.432.</w:t>
            </w:r>
            <w:r w:rsidRPr="00793836">
              <w:rPr>
                <w:rFonts w:eastAsia="Times New Roman" w:cs="Arial"/>
                <w:color w:val="000000"/>
                <w:sz w:val="12"/>
                <w:szCs w:val="12"/>
              </w:rPr>
              <w:t>379</w:t>
            </w:r>
          </w:p>
        </w:tc>
        <w:tc>
          <w:tcPr>
            <w:tcW w:w="329" w:type="pct"/>
            <w:tcBorders>
              <w:top w:val="nil"/>
              <w:left w:val="nil"/>
              <w:bottom w:val="dotted" w:sz="4" w:space="0" w:color="auto"/>
              <w:right w:val="dotted" w:sz="4" w:space="0" w:color="auto"/>
            </w:tcBorders>
            <w:shd w:val="clear" w:color="auto" w:fill="auto"/>
            <w:vAlign w:val="center"/>
            <w:hideMark/>
          </w:tcPr>
          <w:p w14:paraId="3A2717B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661.</w:t>
            </w:r>
            <w:r w:rsidRPr="00793836">
              <w:rPr>
                <w:rFonts w:eastAsia="Times New Roman" w:cs="Arial"/>
                <w:color w:val="000000"/>
                <w:sz w:val="12"/>
                <w:szCs w:val="12"/>
              </w:rPr>
              <w:t>650</w:t>
            </w:r>
          </w:p>
        </w:tc>
        <w:tc>
          <w:tcPr>
            <w:tcW w:w="337" w:type="pct"/>
            <w:tcBorders>
              <w:top w:val="nil"/>
              <w:left w:val="nil"/>
              <w:bottom w:val="dotted" w:sz="4" w:space="0" w:color="auto"/>
              <w:right w:val="dotted" w:sz="4" w:space="0" w:color="auto"/>
            </w:tcBorders>
            <w:shd w:val="clear" w:color="auto" w:fill="auto"/>
            <w:noWrap/>
            <w:vAlign w:val="center"/>
            <w:hideMark/>
          </w:tcPr>
          <w:p w14:paraId="08C4EA8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3.770.</w:t>
            </w:r>
            <w:r w:rsidRPr="00793836">
              <w:rPr>
                <w:rFonts w:eastAsia="Times New Roman" w:cs="Arial"/>
                <w:color w:val="000000"/>
                <w:sz w:val="12"/>
                <w:szCs w:val="12"/>
              </w:rPr>
              <w:t>729</w:t>
            </w:r>
          </w:p>
        </w:tc>
        <w:tc>
          <w:tcPr>
            <w:tcW w:w="309" w:type="pct"/>
            <w:tcBorders>
              <w:top w:val="nil"/>
              <w:left w:val="nil"/>
              <w:bottom w:val="dotted" w:sz="4" w:space="0" w:color="auto"/>
              <w:right w:val="nil"/>
            </w:tcBorders>
            <w:shd w:val="clear" w:color="auto" w:fill="auto"/>
            <w:vAlign w:val="center"/>
            <w:hideMark/>
          </w:tcPr>
          <w:p w14:paraId="0564D405"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08267B0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6.233.</w:t>
            </w:r>
            <w:r w:rsidRPr="00793836">
              <w:rPr>
                <w:rFonts w:eastAsia="Times New Roman" w:cs="Arial"/>
                <w:color w:val="000000"/>
                <w:sz w:val="12"/>
                <w:szCs w:val="12"/>
              </w:rPr>
              <w:t xml:space="preserve">367 </w:t>
            </w:r>
          </w:p>
        </w:tc>
        <w:tc>
          <w:tcPr>
            <w:tcW w:w="369" w:type="pct"/>
            <w:tcBorders>
              <w:top w:val="nil"/>
              <w:left w:val="nil"/>
              <w:bottom w:val="dotted" w:sz="4" w:space="0" w:color="auto"/>
              <w:right w:val="dotted" w:sz="4" w:space="0" w:color="auto"/>
            </w:tcBorders>
            <w:shd w:val="clear" w:color="auto" w:fill="auto"/>
            <w:noWrap/>
            <w:vAlign w:val="center"/>
            <w:hideMark/>
          </w:tcPr>
          <w:p w14:paraId="474B0374"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2.451.</w:t>
            </w:r>
            <w:r w:rsidRPr="00793836">
              <w:rPr>
                <w:rFonts w:eastAsia="Times New Roman" w:cs="Arial"/>
                <w:color w:val="000000"/>
                <w:sz w:val="12"/>
                <w:szCs w:val="12"/>
              </w:rPr>
              <w:t xml:space="preserve">871 </w:t>
            </w:r>
          </w:p>
        </w:tc>
        <w:tc>
          <w:tcPr>
            <w:tcW w:w="359" w:type="pct"/>
            <w:tcBorders>
              <w:top w:val="nil"/>
              <w:left w:val="nil"/>
              <w:bottom w:val="dotted" w:sz="4" w:space="0" w:color="auto"/>
              <w:right w:val="dotted" w:sz="4" w:space="0" w:color="auto"/>
            </w:tcBorders>
            <w:shd w:val="clear" w:color="auto" w:fill="auto"/>
            <w:noWrap/>
            <w:vAlign w:val="center"/>
            <w:hideMark/>
          </w:tcPr>
          <w:p w14:paraId="23D0444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3.781.</w:t>
            </w:r>
            <w:r w:rsidRPr="00793836">
              <w:rPr>
                <w:rFonts w:eastAsia="Times New Roman" w:cs="Arial"/>
                <w:color w:val="000000"/>
                <w:sz w:val="12"/>
                <w:szCs w:val="12"/>
              </w:rPr>
              <w:t xml:space="preserve">496 </w:t>
            </w:r>
          </w:p>
        </w:tc>
        <w:tc>
          <w:tcPr>
            <w:tcW w:w="174" w:type="pct"/>
            <w:tcBorders>
              <w:top w:val="nil"/>
              <w:left w:val="nil"/>
              <w:bottom w:val="dotted" w:sz="4" w:space="0" w:color="auto"/>
              <w:right w:val="double" w:sz="6" w:space="0" w:color="auto"/>
            </w:tcBorders>
            <w:shd w:val="clear" w:color="auto" w:fill="auto"/>
            <w:noWrap/>
            <w:vAlign w:val="bottom"/>
            <w:hideMark/>
          </w:tcPr>
          <w:p w14:paraId="07D8D235"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404F061"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6C868AC2"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w:t>
            </w:r>
            <w:r>
              <w:rPr>
                <w:rFonts w:eastAsia="Times New Roman" w:cs="Arial"/>
                <w:color w:val="000000"/>
                <w:sz w:val="12"/>
                <w:szCs w:val="12"/>
              </w:rPr>
              <w:t xml:space="preserve">         1.800.</w:t>
            </w:r>
            <w:r w:rsidRPr="00793836">
              <w:rPr>
                <w:rFonts w:eastAsia="Times New Roman" w:cs="Arial"/>
                <w:color w:val="000000"/>
                <w:sz w:val="12"/>
                <w:szCs w:val="12"/>
              </w:rPr>
              <w:t xml:space="preserve">988 </w:t>
            </w:r>
          </w:p>
        </w:tc>
        <w:tc>
          <w:tcPr>
            <w:tcW w:w="359" w:type="pct"/>
            <w:tcBorders>
              <w:top w:val="nil"/>
              <w:left w:val="nil"/>
              <w:bottom w:val="dotted" w:sz="4" w:space="0" w:color="auto"/>
              <w:right w:val="dotted" w:sz="4" w:space="0" w:color="auto"/>
            </w:tcBorders>
            <w:shd w:val="clear" w:color="auto" w:fill="auto"/>
            <w:noWrap/>
            <w:vAlign w:val="center"/>
            <w:hideMark/>
          </w:tcPr>
          <w:p w14:paraId="0086264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1.790.</w:t>
            </w:r>
            <w:r w:rsidRPr="00793836">
              <w:rPr>
                <w:rFonts w:eastAsia="Times New Roman" w:cs="Arial"/>
                <w:color w:val="000000"/>
                <w:sz w:val="12"/>
                <w:szCs w:val="12"/>
              </w:rPr>
              <w:t xml:space="preserve">221 </w:t>
            </w:r>
          </w:p>
        </w:tc>
        <w:tc>
          <w:tcPr>
            <w:tcW w:w="366" w:type="pct"/>
            <w:tcBorders>
              <w:top w:val="nil"/>
              <w:left w:val="nil"/>
              <w:bottom w:val="dotted" w:sz="4" w:space="0" w:color="auto"/>
              <w:right w:val="double" w:sz="6" w:space="0" w:color="auto"/>
            </w:tcBorders>
            <w:shd w:val="clear" w:color="auto" w:fill="auto"/>
            <w:noWrap/>
            <w:vAlign w:val="center"/>
            <w:hideMark/>
          </w:tcPr>
          <w:p w14:paraId="3577E1C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10.</w:t>
            </w:r>
            <w:r w:rsidRPr="00793836">
              <w:rPr>
                <w:rFonts w:eastAsia="Times New Roman" w:cs="Arial"/>
                <w:color w:val="000000"/>
                <w:sz w:val="12"/>
                <w:szCs w:val="12"/>
              </w:rPr>
              <w:t xml:space="preserve">767 </w:t>
            </w:r>
          </w:p>
        </w:tc>
      </w:tr>
      <w:tr w:rsidR="00AD66A6" w:rsidRPr="00793836" w14:paraId="0A92F42A" w14:textId="77777777" w:rsidTr="00AD66A6">
        <w:trPr>
          <w:trHeight w:val="245"/>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3A68816C"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6.0 Productos sanitarios</w:t>
            </w:r>
            <w:r>
              <w:rPr>
                <w:rFonts w:eastAsia="Times New Roman" w:cs="Arial"/>
                <w:color w:val="000000"/>
                <w:sz w:val="12"/>
                <w:szCs w:val="12"/>
                <w:lang w:val="es-ES_tradnl"/>
              </w:rPr>
              <w:t>: equipamiento</w:t>
            </w:r>
          </w:p>
        </w:tc>
        <w:tc>
          <w:tcPr>
            <w:tcW w:w="376" w:type="pct"/>
            <w:tcBorders>
              <w:top w:val="nil"/>
              <w:left w:val="nil"/>
              <w:bottom w:val="dotted" w:sz="4" w:space="0" w:color="auto"/>
              <w:right w:val="dotted" w:sz="4" w:space="0" w:color="auto"/>
            </w:tcBorders>
            <w:shd w:val="clear" w:color="auto" w:fill="auto"/>
            <w:vAlign w:val="center"/>
            <w:hideMark/>
          </w:tcPr>
          <w:p w14:paraId="5639E85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521.</w:t>
            </w:r>
            <w:r w:rsidRPr="00793836">
              <w:rPr>
                <w:rFonts w:eastAsia="Times New Roman" w:cs="Arial"/>
                <w:color w:val="000000"/>
                <w:sz w:val="12"/>
                <w:szCs w:val="12"/>
              </w:rPr>
              <w:t>527</w:t>
            </w:r>
          </w:p>
        </w:tc>
        <w:tc>
          <w:tcPr>
            <w:tcW w:w="329" w:type="pct"/>
            <w:tcBorders>
              <w:top w:val="nil"/>
              <w:left w:val="nil"/>
              <w:bottom w:val="dotted" w:sz="4" w:space="0" w:color="auto"/>
              <w:right w:val="dotted" w:sz="4" w:space="0" w:color="auto"/>
            </w:tcBorders>
            <w:shd w:val="clear" w:color="auto" w:fill="auto"/>
            <w:vAlign w:val="center"/>
            <w:hideMark/>
          </w:tcPr>
          <w:p w14:paraId="069274B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175.</w:t>
            </w:r>
            <w:r w:rsidRPr="00793836">
              <w:rPr>
                <w:rFonts w:eastAsia="Times New Roman" w:cs="Arial"/>
                <w:color w:val="000000"/>
                <w:sz w:val="12"/>
                <w:szCs w:val="12"/>
              </w:rPr>
              <w:t>724</w:t>
            </w:r>
          </w:p>
        </w:tc>
        <w:tc>
          <w:tcPr>
            <w:tcW w:w="337" w:type="pct"/>
            <w:tcBorders>
              <w:top w:val="nil"/>
              <w:left w:val="nil"/>
              <w:bottom w:val="dotted" w:sz="4" w:space="0" w:color="auto"/>
              <w:right w:val="dotted" w:sz="4" w:space="0" w:color="auto"/>
            </w:tcBorders>
            <w:shd w:val="clear" w:color="auto" w:fill="auto"/>
            <w:noWrap/>
            <w:vAlign w:val="center"/>
            <w:hideMark/>
          </w:tcPr>
          <w:p w14:paraId="3B93A18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345.</w:t>
            </w:r>
            <w:r w:rsidRPr="00793836">
              <w:rPr>
                <w:rFonts w:eastAsia="Times New Roman" w:cs="Arial"/>
                <w:color w:val="000000"/>
                <w:sz w:val="12"/>
                <w:szCs w:val="12"/>
              </w:rPr>
              <w:t>803</w:t>
            </w:r>
          </w:p>
        </w:tc>
        <w:tc>
          <w:tcPr>
            <w:tcW w:w="309" w:type="pct"/>
            <w:tcBorders>
              <w:top w:val="nil"/>
              <w:left w:val="nil"/>
              <w:bottom w:val="dotted" w:sz="4" w:space="0" w:color="auto"/>
              <w:right w:val="nil"/>
            </w:tcBorders>
            <w:shd w:val="clear" w:color="auto" w:fill="auto"/>
            <w:vAlign w:val="center"/>
            <w:hideMark/>
          </w:tcPr>
          <w:p w14:paraId="29A7F80E"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2BE4064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649.</w:t>
            </w:r>
            <w:r w:rsidRPr="00793836">
              <w:rPr>
                <w:rFonts w:eastAsia="Times New Roman" w:cs="Arial"/>
                <w:color w:val="000000"/>
                <w:sz w:val="12"/>
                <w:szCs w:val="12"/>
              </w:rPr>
              <w:t xml:space="preserve">426 </w:t>
            </w:r>
          </w:p>
        </w:tc>
        <w:tc>
          <w:tcPr>
            <w:tcW w:w="369" w:type="pct"/>
            <w:tcBorders>
              <w:top w:val="nil"/>
              <w:left w:val="nil"/>
              <w:bottom w:val="dotted" w:sz="4" w:space="0" w:color="auto"/>
              <w:right w:val="dotted" w:sz="4" w:space="0" w:color="auto"/>
            </w:tcBorders>
            <w:shd w:val="clear" w:color="auto" w:fill="auto"/>
            <w:noWrap/>
            <w:vAlign w:val="center"/>
            <w:hideMark/>
          </w:tcPr>
          <w:p w14:paraId="65D1BFC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175.</w:t>
            </w:r>
            <w:r w:rsidRPr="00793836">
              <w:rPr>
                <w:rFonts w:eastAsia="Times New Roman" w:cs="Arial"/>
                <w:color w:val="000000"/>
                <w:sz w:val="12"/>
                <w:szCs w:val="12"/>
              </w:rPr>
              <w:t xml:space="preserve">724 </w:t>
            </w:r>
          </w:p>
        </w:tc>
        <w:tc>
          <w:tcPr>
            <w:tcW w:w="359" w:type="pct"/>
            <w:tcBorders>
              <w:top w:val="nil"/>
              <w:left w:val="nil"/>
              <w:bottom w:val="dotted" w:sz="4" w:space="0" w:color="auto"/>
              <w:right w:val="dotted" w:sz="4" w:space="0" w:color="auto"/>
            </w:tcBorders>
            <w:shd w:val="clear" w:color="auto" w:fill="auto"/>
            <w:noWrap/>
            <w:vAlign w:val="center"/>
            <w:hideMark/>
          </w:tcPr>
          <w:p w14:paraId="3AB774B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473.</w:t>
            </w:r>
            <w:r w:rsidRPr="00793836">
              <w:rPr>
                <w:rFonts w:eastAsia="Times New Roman" w:cs="Arial"/>
                <w:color w:val="000000"/>
                <w:sz w:val="12"/>
                <w:szCs w:val="12"/>
              </w:rPr>
              <w:t xml:space="preserve">702 </w:t>
            </w:r>
          </w:p>
        </w:tc>
        <w:tc>
          <w:tcPr>
            <w:tcW w:w="174" w:type="pct"/>
            <w:tcBorders>
              <w:top w:val="nil"/>
              <w:left w:val="nil"/>
              <w:bottom w:val="dotted" w:sz="4" w:space="0" w:color="auto"/>
              <w:right w:val="double" w:sz="6" w:space="0" w:color="auto"/>
            </w:tcBorders>
            <w:shd w:val="clear" w:color="auto" w:fill="auto"/>
            <w:noWrap/>
            <w:vAlign w:val="bottom"/>
            <w:hideMark/>
          </w:tcPr>
          <w:p w14:paraId="2B062DA9"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7126C4F"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08D1EA3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127.</w:t>
            </w:r>
            <w:r w:rsidRPr="00793836">
              <w:rPr>
                <w:rFonts w:eastAsia="Times New Roman" w:cs="Arial"/>
                <w:color w:val="000000"/>
                <w:sz w:val="12"/>
                <w:szCs w:val="12"/>
              </w:rPr>
              <w:t xml:space="preserve">899 </w:t>
            </w:r>
          </w:p>
        </w:tc>
        <w:tc>
          <w:tcPr>
            <w:tcW w:w="359" w:type="pct"/>
            <w:tcBorders>
              <w:top w:val="nil"/>
              <w:left w:val="nil"/>
              <w:bottom w:val="dotted" w:sz="4" w:space="0" w:color="auto"/>
              <w:right w:val="dotted" w:sz="4" w:space="0" w:color="auto"/>
            </w:tcBorders>
            <w:shd w:val="clear" w:color="auto" w:fill="auto"/>
            <w:noWrap/>
            <w:vAlign w:val="center"/>
            <w:hideMark/>
          </w:tcPr>
          <w:p w14:paraId="78131FD0"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   </w:t>
            </w:r>
          </w:p>
        </w:tc>
        <w:tc>
          <w:tcPr>
            <w:tcW w:w="366" w:type="pct"/>
            <w:tcBorders>
              <w:top w:val="nil"/>
              <w:left w:val="nil"/>
              <w:bottom w:val="dotted" w:sz="4" w:space="0" w:color="auto"/>
              <w:right w:val="double" w:sz="6" w:space="0" w:color="auto"/>
            </w:tcBorders>
            <w:shd w:val="clear" w:color="auto" w:fill="auto"/>
            <w:noWrap/>
            <w:vAlign w:val="center"/>
            <w:hideMark/>
          </w:tcPr>
          <w:p w14:paraId="10B8549E"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127.</w:t>
            </w:r>
            <w:r w:rsidRPr="00793836">
              <w:rPr>
                <w:rFonts w:eastAsia="Times New Roman" w:cs="Arial"/>
                <w:color w:val="000000"/>
                <w:sz w:val="12"/>
                <w:szCs w:val="12"/>
              </w:rPr>
              <w:t xml:space="preserve">899 </w:t>
            </w:r>
          </w:p>
        </w:tc>
      </w:tr>
      <w:tr w:rsidR="00AD66A6" w:rsidRPr="00793836" w14:paraId="78EB1491" w14:textId="77777777" w:rsidTr="00AD66A6">
        <w:trPr>
          <w:trHeight w:val="238"/>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42AD9CAA"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7.0 Cadena de adquisiciones y  suministros </w:t>
            </w:r>
          </w:p>
        </w:tc>
        <w:tc>
          <w:tcPr>
            <w:tcW w:w="376" w:type="pct"/>
            <w:tcBorders>
              <w:top w:val="nil"/>
              <w:left w:val="nil"/>
              <w:bottom w:val="dotted" w:sz="4" w:space="0" w:color="auto"/>
              <w:right w:val="dotted" w:sz="4" w:space="0" w:color="auto"/>
            </w:tcBorders>
            <w:shd w:val="clear" w:color="auto" w:fill="auto"/>
            <w:vAlign w:val="center"/>
            <w:hideMark/>
          </w:tcPr>
          <w:p w14:paraId="1960027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3.736.</w:t>
            </w:r>
            <w:r w:rsidRPr="00793836">
              <w:rPr>
                <w:rFonts w:eastAsia="Times New Roman" w:cs="Arial"/>
                <w:color w:val="000000"/>
                <w:sz w:val="12"/>
                <w:szCs w:val="12"/>
              </w:rPr>
              <w:t>254</w:t>
            </w:r>
          </w:p>
        </w:tc>
        <w:tc>
          <w:tcPr>
            <w:tcW w:w="329" w:type="pct"/>
            <w:tcBorders>
              <w:top w:val="nil"/>
              <w:left w:val="nil"/>
              <w:bottom w:val="dotted" w:sz="4" w:space="0" w:color="auto"/>
              <w:right w:val="dotted" w:sz="4" w:space="0" w:color="auto"/>
            </w:tcBorders>
            <w:shd w:val="clear" w:color="auto" w:fill="auto"/>
            <w:vAlign w:val="center"/>
            <w:hideMark/>
          </w:tcPr>
          <w:p w14:paraId="134A9D5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1.513.</w:t>
            </w:r>
            <w:r w:rsidRPr="00793836">
              <w:rPr>
                <w:rFonts w:eastAsia="Times New Roman" w:cs="Arial"/>
                <w:color w:val="000000"/>
                <w:sz w:val="12"/>
                <w:szCs w:val="12"/>
              </w:rPr>
              <w:t>300</w:t>
            </w:r>
          </w:p>
        </w:tc>
        <w:tc>
          <w:tcPr>
            <w:tcW w:w="337" w:type="pct"/>
            <w:tcBorders>
              <w:top w:val="nil"/>
              <w:left w:val="nil"/>
              <w:bottom w:val="dotted" w:sz="4" w:space="0" w:color="auto"/>
              <w:right w:val="dotted" w:sz="4" w:space="0" w:color="auto"/>
            </w:tcBorders>
            <w:shd w:val="clear" w:color="auto" w:fill="auto"/>
            <w:noWrap/>
            <w:vAlign w:val="center"/>
            <w:hideMark/>
          </w:tcPr>
          <w:p w14:paraId="3082E8D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2.222.</w:t>
            </w:r>
            <w:r w:rsidRPr="00793836">
              <w:rPr>
                <w:rFonts w:eastAsia="Times New Roman" w:cs="Arial"/>
                <w:color w:val="000000"/>
                <w:sz w:val="12"/>
                <w:szCs w:val="12"/>
              </w:rPr>
              <w:t>954</w:t>
            </w:r>
          </w:p>
        </w:tc>
        <w:tc>
          <w:tcPr>
            <w:tcW w:w="309" w:type="pct"/>
            <w:tcBorders>
              <w:top w:val="nil"/>
              <w:left w:val="nil"/>
              <w:bottom w:val="dotted" w:sz="4" w:space="0" w:color="auto"/>
              <w:right w:val="nil"/>
            </w:tcBorders>
            <w:shd w:val="clear" w:color="auto" w:fill="auto"/>
            <w:vAlign w:val="center"/>
            <w:hideMark/>
          </w:tcPr>
          <w:p w14:paraId="292BA94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875.</w:t>
            </w:r>
            <w:r w:rsidRPr="00793836">
              <w:rPr>
                <w:rFonts w:eastAsia="Times New Roman" w:cs="Arial"/>
                <w:color w:val="000000"/>
                <w:sz w:val="12"/>
                <w:szCs w:val="12"/>
              </w:rPr>
              <w:t>000</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0B0A81A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4.508.</w:t>
            </w:r>
            <w:r w:rsidRPr="00793836">
              <w:rPr>
                <w:rFonts w:eastAsia="Times New Roman" w:cs="Arial"/>
                <w:color w:val="000000"/>
                <w:sz w:val="12"/>
                <w:szCs w:val="12"/>
              </w:rPr>
              <w:t xml:space="preserve">652 </w:t>
            </w:r>
          </w:p>
        </w:tc>
        <w:tc>
          <w:tcPr>
            <w:tcW w:w="369" w:type="pct"/>
            <w:tcBorders>
              <w:top w:val="nil"/>
              <w:left w:val="nil"/>
              <w:bottom w:val="dotted" w:sz="4" w:space="0" w:color="auto"/>
              <w:right w:val="dotted" w:sz="4" w:space="0" w:color="auto"/>
            </w:tcBorders>
            <w:shd w:val="clear" w:color="auto" w:fill="auto"/>
            <w:noWrap/>
            <w:vAlign w:val="center"/>
            <w:hideMark/>
          </w:tcPr>
          <w:p w14:paraId="2D1BE01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2.165.</w:t>
            </w:r>
            <w:r w:rsidRPr="00793836">
              <w:rPr>
                <w:rFonts w:eastAsia="Times New Roman" w:cs="Arial"/>
                <w:color w:val="000000"/>
                <w:sz w:val="12"/>
                <w:szCs w:val="12"/>
              </w:rPr>
              <w:t xml:space="preserve">312 </w:t>
            </w:r>
          </w:p>
        </w:tc>
        <w:tc>
          <w:tcPr>
            <w:tcW w:w="359" w:type="pct"/>
            <w:tcBorders>
              <w:top w:val="nil"/>
              <w:left w:val="nil"/>
              <w:bottom w:val="dotted" w:sz="4" w:space="0" w:color="auto"/>
              <w:right w:val="dotted" w:sz="4" w:space="0" w:color="auto"/>
            </w:tcBorders>
            <w:shd w:val="clear" w:color="auto" w:fill="auto"/>
            <w:noWrap/>
            <w:vAlign w:val="center"/>
            <w:hideMark/>
          </w:tcPr>
          <w:p w14:paraId="2170D40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2.343.</w:t>
            </w:r>
            <w:r w:rsidRPr="00793836">
              <w:rPr>
                <w:rFonts w:eastAsia="Times New Roman" w:cs="Arial"/>
                <w:color w:val="000000"/>
                <w:sz w:val="12"/>
                <w:szCs w:val="12"/>
              </w:rPr>
              <w:t xml:space="preserve">340 </w:t>
            </w:r>
          </w:p>
        </w:tc>
        <w:tc>
          <w:tcPr>
            <w:tcW w:w="174" w:type="pct"/>
            <w:tcBorders>
              <w:top w:val="nil"/>
              <w:left w:val="nil"/>
              <w:bottom w:val="dotted" w:sz="4" w:space="0" w:color="auto"/>
              <w:right w:val="double" w:sz="6" w:space="0" w:color="auto"/>
            </w:tcBorders>
            <w:shd w:val="clear" w:color="auto" w:fill="auto"/>
            <w:noWrap/>
            <w:vAlign w:val="bottom"/>
            <w:hideMark/>
          </w:tcPr>
          <w:p w14:paraId="0084070A"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640EB7F6"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23B45474"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772.</w:t>
            </w:r>
            <w:r w:rsidRPr="00793836">
              <w:rPr>
                <w:rFonts w:eastAsia="Times New Roman" w:cs="Arial"/>
                <w:color w:val="000000"/>
                <w:sz w:val="12"/>
                <w:szCs w:val="12"/>
              </w:rPr>
              <w:t xml:space="preserve">398 </w:t>
            </w:r>
          </w:p>
        </w:tc>
        <w:tc>
          <w:tcPr>
            <w:tcW w:w="359" w:type="pct"/>
            <w:tcBorders>
              <w:top w:val="nil"/>
              <w:left w:val="nil"/>
              <w:bottom w:val="dotted" w:sz="4" w:space="0" w:color="auto"/>
              <w:right w:val="dotted" w:sz="4" w:space="0" w:color="auto"/>
            </w:tcBorders>
            <w:shd w:val="clear" w:color="auto" w:fill="auto"/>
            <w:noWrap/>
            <w:vAlign w:val="center"/>
            <w:hideMark/>
          </w:tcPr>
          <w:p w14:paraId="58189D4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652.</w:t>
            </w:r>
            <w:r w:rsidRPr="00793836">
              <w:rPr>
                <w:rFonts w:eastAsia="Times New Roman" w:cs="Arial"/>
                <w:color w:val="000000"/>
                <w:sz w:val="12"/>
                <w:szCs w:val="12"/>
              </w:rPr>
              <w:t xml:space="preserve">012 </w:t>
            </w:r>
          </w:p>
        </w:tc>
        <w:tc>
          <w:tcPr>
            <w:tcW w:w="366" w:type="pct"/>
            <w:tcBorders>
              <w:top w:val="nil"/>
              <w:left w:val="nil"/>
              <w:bottom w:val="dotted" w:sz="4" w:space="0" w:color="auto"/>
              <w:right w:val="double" w:sz="6" w:space="0" w:color="auto"/>
            </w:tcBorders>
            <w:shd w:val="clear" w:color="auto" w:fill="auto"/>
            <w:noWrap/>
            <w:vAlign w:val="center"/>
            <w:hideMark/>
          </w:tcPr>
          <w:p w14:paraId="4356EDB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w:t>
            </w:r>
            <w:r>
              <w:rPr>
                <w:rFonts w:eastAsia="Times New Roman" w:cs="Arial"/>
                <w:color w:val="000000"/>
                <w:sz w:val="12"/>
                <w:szCs w:val="12"/>
              </w:rPr>
              <w:t xml:space="preserve">     120.</w:t>
            </w:r>
            <w:r w:rsidRPr="00793836">
              <w:rPr>
                <w:rFonts w:eastAsia="Times New Roman" w:cs="Arial"/>
                <w:color w:val="000000"/>
                <w:sz w:val="12"/>
                <w:szCs w:val="12"/>
              </w:rPr>
              <w:t xml:space="preserve">386 </w:t>
            </w:r>
          </w:p>
        </w:tc>
      </w:tr>
      <w:tr w:rsidR="00AD66A6" w:rsidRPr="00793836" w14:paraId="2541BD39" w14:textId="77777777" w:rsidTr="00AD66A6">
        <w:trPr>
          <w:trHeight w:val="238"/>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6D81059F"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8.0 Infraestructura (INF)</w:t>
            </w:r>
          </w:p>
        </w:tc>
        <w:tc>
          <w:tcPr>
            <w:tcW w:w="376" w:type="pct"/>
            <w:tcBorders>
              <w:top w:val="nil"/>
              <w:left w:val="nil"/>
              <w:bottom w:val="dotted" w:sz="4" w:space="0" w:color="auto"/>
              <w:right w:val="dotted" w:sz="4" w:space="0" w:color="auto"/>
            </w:tcBorders>
            <w:shd w:val="clear" w:color="auto" w:fill="auto"/>
            <w:vAlign w:val="center"/>
            <w:hideMark/>
          </w:tcPr>
          <w:p w14:paraId="09C183D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4.432.</w:t>
            </w:r>
            <w:r w:rsidRPr="00793836">
              <w:rPr>
                <w:rFonts w:eastAsia="Times New Roman" w:cs="Arial"/>
                <w:color w:val="000000"/>
                <w:sz w:val="12"/>
                <w:szCs w:val="12"/>
              </w:rPr>
              <w:t>379</w:t>
            </w:r>
          </w:p>
        </w:tc>
        <w:tc>
          <w:tcPr>
            <w:tcW w:w="329" w:type="pct"/>
            <w:tcBorders>
              <w:top w:val="nil"/>
              <w:left w:val="nil"/>
              <w:bottom w:val="dotted" w:sz="4" w:space="0" w:color="auto"/>
              <w:right w:val="dotted" w:sz="4" w:space="0" w:color="auto"/>
            </w:tcBorders>
            <w:shd w:val="clear" w:color="auto" w:fill="auto"/>
            <w:vAlign w:val="center"/>
            <w:hideMark/>
          </w:tcPr>
          <w:p w14:paraId="5FEBE2A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661.</w:t>
            </w:r>
            <w:r w:rsidRPr="00793836">
              <w:rPr>
                <w:rFonts w:eastAsia="Times New Roman" w:cs="Arial"/>
                <w:color w:val="000000"/>
                <w:sz w:val="12"/>
                <w:szCs w:val="12"/>
              </w:rPr>
              <w:t>650</w:t>
            </w:r>
          </w:p>
        </w:tc>
        <w:tc>
          <w:tcPr>
            <w:tcW w:w="337" w:type="pct"/>
            <w:tcBorders>
              <w:top w:val="nil"/>
              <w:left w:val="nil"/>
              <w:bottom w:val="dotted" w:sz="4" w:space="0" w:color="auto"/>
              <w:right w:val="dotted" w:sz="4" w:space="0" w:color="auto"/>
            </w:tcBorders>
            <w:shd w:val="clear" w:color="auto" w:fill="auto"/>
            <w:noWrap/>
            <w:vAlign w:val="center"/>
            <w:hideMark/>
          </w:tcPr>
          <w:p w14:paraId="77627A0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3.770.</w:t>
            </w:r>
            <w:r w:rsidRPr="00793836">
              <w:rPr>
                <w:rFonts w:eastAsia="Times New Roman" w:cs="Arial"/>
                <w:color w:val="000000"/>
                <w:sz w:val="12"/>
                <w:szCs w:val="12"/>
              </w:rPr>
              <w:t>729</w:t>
            </w:r>
          </w:p>
        </w:tc>
        <w:tc>
          <w:tcPr>
            <w:tcW w:w="309" w:type="pct"/>
            <w:tcBorders>
              <w:top w:val="nil"/>
              <w:left w:val="nil"/>
              <w:bottom w:val="dotted" w:sz="4" w:space="0" w:color="auto"/>
              <w:right w:val="nil"/>
            </w:tcBorders>
            <w:shd w:val="clear" w:color="auto" w:fill="auto"/>
            <w:vAlign w:val="center"/>
            <w:hideMark/>
          </w:tcPr>
          <w:p w14:paraId="17EF5CB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235.</w:t>
            </w:r>
            <w:r w:rsidRPr="00793836">
              <w:rPr>
                <w:rFonts w:eastAsia="Times New Roman" w:cs="Arial"/>
                <w:color w:val="000000"/>
                <w:sz w:val="12"/>
                <w:szCs w:val="12"/>
              </w:rPr>
              <w:t>847</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54C3D48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5.521.</w:t>
            </w:r>
            <w:r w:rsidRPr="00793836">
              <w:rPr>
                <w:rFonts w:eastAsia="Times New Roman" w:cs="Arial"/>
                <w:color w:val="000000"/>
                <w:sz w:val="12"/>
                <w:szCs w:val="12"/>
              </w:rPr>
              <w:t xml:space="preserve">612 </w:t>
            </w:r>
          </w:p>
        </w:tc>
        <w:tc>
          <w:tcPr>
            <w:tcW w:w="369" w:type="pct"/>
            <w:tcBorders>
              <w:top w:val="nil"/>
              <w:left w:val="nil"/>
              <w:bottom w:val="dotted" w:sz="4" w:space="0" w:color="auto"/>
              <w:right w:val="dotted" w:sz="4" w:space="0" w:color="auto"/>
            </w:tcBorders>
            <w:shd w:val="clear" w:color="auto" w:fill="auto"/>
            <w:noWrap/>
            <w:vAlign w:val="center"/>
            <w:hideMark/>
          </w:tcPr>
          <w:p w14:paraId="77BD444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1.862.</w:t>
            </w:r>
            <w:r w:rsidRPr="00793836">
              <w:rPr>
                <w:rFonts w:eastAsia="Times New Roman" w:cs="Arial"/>
                <w:color w:val="000000"/>
                <w:sz w:val="12"/>
                <w:szCs w:val="12"/>
              </w:rPr>
              <w:t xml:space="preserve">414 </w:t>
            </w:r>
          </w:p>
        </w:tc>
        <w:tc>
          <w:tcPr>
            <w:tcW w:w="359" w:type="pct"/>
            <w:tcBorders>
              <w:top w:val="nil"/>
              <w:left w:val="nil"/>
              <w:bottom w:val="dotted" w:sz="4" w:space="0" w:color="auto"/>
              <w:right w:val="dotted" w:sz="4" w:space="0" w:color="auto"/>
            </w:tcBorders>
            <w:shd w:val="clear" w:color="auto" w:fill="auto"/>
            <w:noWrap/>
            <w:vAlign w:val="center"/>
            <w:hideMark/>
          </w:tcPr>
          <w:p w14:paraId="32F0BCE5"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3.659.</w:t>
            </w:r>
            <w:r w:rsidRPr="00793836">
              <w:rPr>
                <w:rFonts w:eastAsia="Times New Roman" w:cs="Arial"/>
                <w:color w:val="000000"/>
                <w:sz w:val="12"/>
                <w:szCs w:val="12"/>
              </w:rPr>
              <w:t xml:space="preserve">198 </w:t>
            </w:r>
          </w:p>
        </w:tc>
        <w:tc>
          <w:tcPr>
            <w:tcW w:w="174" w:type="pct"/>
            <w:tcBorders>
              <w:top w:val="nil"/>
              <w:left w:val="nil"/>
              <w:bottom w:val="dotted" w:sz="4" w:space="0" w:color="auto"/>
              <w:right w:val="double" w:sz="6" w:space="0" w:color="auto"/>
            </w:tcBorders>
            <w:shd w:val="clear" w:color="auto" w:fill="auto"/>
            <w:noWrap/>
            <w:vAlign w:val="bottom"/>
            <w:hideMark/>
          </w:tcPr>
          <w:p w14:paraId="588B6F16"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78318D49"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200611B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1.089.</w:t>
            </w:r>
            <w:r w:rsidRPr="00793836">
              <w:rPr>
                <w:rFonts w:eastAsia="Times New Roman" w:cs="Arial"/>
                <w:color w:val="000000"/>
                <w:sz w:val="12"/>
                <w:szCs w:val="12"/>
              </w:rPr>
              <w:t xml:space="preserve">233 </w:t>
            </w:r>
          </w:p>
        </w:tc>
        <w:tc>
          <w:tcPr>
            <w:tcW w:w="359" w:type="pct"/>
            <w:tcBorders>
              <w:top w:val="nil"/>
              <w:left w:val="nil"/>
              <w:bottom w:val="dotted" w:sz="4" w:space="0" w:color="auto"/>
              <w:right w:val="dotted" w:sz="4" w:space="0" w:color="auto"/>
            </w:tcBorders>
            <w:shd w:val="clear" w:color="auto" w:fill="auto"/>
            <w:noWrap/>
            <w:vAlign w:val="center"/>
            <w:hideMark/>
          </w:tcPr>
          <w:p w14:paraId="23E39957"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1.200.</w:t>
            </w:r>
            <w:r w:rsidRPr="00793836">
              <w:rPr>
                <w:rFonts w:eastAsia="Times New Roman" w:cs="Arial"/>
                <w:color w:val="000000"/>
                <w:sz w:val="12"/>
                <w:szCs w:val="12"/>
              </w:rPr>
              <w:t xml:space="preserve">764 </w:t>
            </w:r>
          </w:p>
        </w:tc>
        <w:tc>
          <w:tcPr>
            <w:tcW w:w="366" w:type="pct"/>
            <w:tcBorders>
              <w:top w:val="nil"/>
              <w:left w:val="nil"/>
              <w:bottom w:val="dotted" w:sz="4" w:space="0" w:color="auto"/>
              <w:right w:val="double" w:sz="6" w:space="0" w:color="auto"/>
            </w:tcBorders>
            <w:shd w:val="clear" w:color="auto" w:fill="auto"/>
            <w:noWrap/>
            <w:vAlign w:val="center"/>
            <w:hideMark/>
          </w:tcPr>
          <w:p w14:paraId="6D7E66F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(111.</w:t>
            </w:r>
            <w:r w:rsidRPr="00793836">
              <w:rPr>
                <w:rFonts w:eastAsia="Times New Roman" w:cs="Arial"/>
                <w:color w:val="000000"/>
                <w:sz w:val="12"/>
                <w:szCs w:val="12"/>
              </w:rPr>
              <w:t>531)</w:t>
            </w:r>
          </w:p>
        </w:tc>
      </w:tr>
      <w:tr w:rsidR="00AD66A6" w:rsidRPr="00793836" w14:paraId="2DF4218F" w14:textId="77777777" w:rsidTr="00AD66A6">
        <w:trPr>
          <w:trHeight w:val="229"/>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6604E7EE"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9.0 Equipamiento no sanitario </w:t>
            </w:r>
          </w:p>
        </w:tc>
        <w:tc>
          <w:tcPr>
            <w:tcW w:w="376" w:type="pct"/>
            <w:tcBorders>
              <w:top w:val="nil"/>
              <w:left w:val="nil"/>
              <w:bottom w:val="dotted" w:sz="4" w:space="0" w:color="auto"/>
              <w:right w:val="dotted" w:sz="4" w:space="0" w:color="auto"/>
            </w:tcBorders>
            <w:shd w:val="clear" w:color="auto" w:fill="auto"/>
            <w:vAlign w:val="center"/>
            <w:hideMark/>
          </w:tcPr>
          <w:p w14:paraId="6542867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521.</w:t>
            </w:r>
            <w:r w:rsidRPr="00793836">
              <w:rPr>
                <w:rFonts w:eastAsia="Times New Roman" w:cs="Arial"/>
                <w:color w:val="000000"/>
                <w:sz w:val="12"/>
                <w:szCs w:val="12"/>
              </w:rPr>
              <w:t>527</w:t>
            </w:r>
          </w:p>
        </w:tc>
        <w:tc>
          <w:tcPr>
            <w:tcW w:w="329" w:type="pct"/>
            <w:tcBorders>
              <w:top w:val="nil"/>
              <w:left w:val="nil"/>
              <w:bottom w:val="dotted" w:sz="4" w:space="0" w:color="auto"/>
              <w:right w:val="dotted" w:sz="4" w:space="0" w:color="auto"/>
            </w:tcBorders>
            <w:shd w:val="clear" w:color="auto" w:fill="auto"/>
            <w:vAlign w:val="center"/>
            <w:hideMark/>
          </w:tcPr>
          <w:p w14:paraId="442CE6A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175.</w:t>
            </w:r>
            <w:r w:rsidRPr="00793836">
              <w:rPr>
                <w:rFonts w:eastAsia="Times New Roman" w:cs="Arial"/>
                <w:color w:val="000000"/>
                <w:sz w:val="12"/>
                <w:szCs w:val="12"/>
              </w:rPr>
              <w:t>724</w:t>
            </w:r>
          </w:p>
        </w:tc>
        <w:tc>
          <w:tcPr>
            <w:tcW w:w="337" w:type="pct"/>
            <w:tcBorders>
              <w:top w:val="nil"/>
              <w:left w:val="nil"/>
              <w:bottom w:val="dotted" w:sz="4" w:space="0" w:color="auto"/>
              <w:right w:val="dotted" w:sz="4" w:space="0" w:color="auto"/>
            </w:tcBorders>
            <w:shd w:val="clear" w:color="auto" w:fill="auto"/>
            <w:noWrap/>
            <w:vAlign w:val="center"/>
            <w:hideMark/>
          </w:tcPr>
          <w:p w14:paraId="099A998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345.</w:t>
            </w:r>
            <w:r w:rsidRPr="00793836">
              <w:rPr>
                <w:rFonts w:eastAsia="Times New Roman" w:cs="Arial"/>
                <w:color w:val="000000"/>
                <w:sz w:val="12"/>
                <w:szCs w:val="12"/>
              </w:rPr>
              <w:t>803</w:t>
            </w:r>
          </w:p>
        </w:tc>
        <w:tc>
          <w:tcPr>
            <w:tcW w:w="309" w:type="pct"/>
            <w:tcBorders>
              <w:top w:val="nil"/>
              <w:left w:val="nil"/>
              <w:bottom w:val="dotted" w:sz="4" w:space="0" w:color="auto"/>
              <w:right w:val="nil"/>
            </w:tcBorders>
            <w:shd w:val="clear" w:color="auto" w:fill="auto"/>
            <w:vAlign w:val="center"/>
            <w:hideMark/>
          </w:tcPr>
          <w:p w14:paraId="0B015EC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4E9D1C95"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645.</w:t>
            </w:r>
            <w:r w:rsidRPr="00793836">
              <w:rPr>
                <w:rFonts w:eastAsia="Times New Roman" w:cs="Arial"/>
                <w:color w:val="000000"/>
                <w:sz w:val="12"/>
                <w:szCs w:val="12"/>
              </w:rPr>
              <w:t xml:space="preserve">304 </w:t>
            </w:r>
          </w:p>
        </w:tc>
        <w:tc>
          <w:tcPr>
            <w:tcW w:w="369" w:type="pct"/>
            <w:tcBorders>
              <w:top w:val="nil"/>
              <w:left w:val="nil"/>
              <w:bottom w:val="dotted" w:sz="4" w:space="0" w:color="auto"/>
              <w:right w:val="dotted" w:sz="4" w:space="0" w:color="auto"/>
            </w:tcBorders>
            <w:shd w:val="clear" w:color="auto" w:fill="auto"/>
            <w:noWrap/>
            <w:vAlign w:val="center"/>
            <w:hideMark/>
          </w:tcPr>
          <w:p w14:paraId="7C5E4D6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310.</w:t>
            </w:r>
            <w:r w:rsidRPr="00793836">
              <w:rPr>
                <w:rFonts w:eastAsia="Times New Roman" w:cs="Arial"/>
                <w:color w:val="000000"/>
                <w:sz w:val="12"/>
                <w:szCs w:val="12"/>
              </w:rPr>
              <w:t xml:space="preserve">724 </w:t>
            </w:r>
          </w:p>
        </w:tc>
        <w:tc>
          <w:tcPr>
            <w:tcW w:w="359" w:type="pct"/>
            <w:tcBorders>
              <w:top w:val="nil"/>
              <w:left w:val="nil"/>
              <w:bottom w:val="dotted" w:sz="4" w:space="0" w:color="auto"/>
              <w:right w:val="dotted" w:sz="4" w:space="0" w:color="auto"/>
            </w:tcBorders>
            <w:shd w:val="clear" w:color="auto" w:fill="auto"/>
            <w:noWrap/>
            <w:vAlign w:val="center"/>
            <w:hideMark/>
          </w:tcPr>
          <w:p w14:paraId="48CB667E"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334.</w:t>
            </w:r>
            <w:r w:rsidRPr="00793836">
              <w:rPr>
                <w:rFonts w:eastAsia="Times New Roman" w:cs="Arial"/>
                <w:color w:val="000000"/>
                <w:sz w:val="12"/>
                <w:szCs w:val="12"/>
              </w:rPr>
              <w:t xml:space="preserve">580 </w:t>
            </w:r>
          </w:p>
        </w:tc>
        <w:tc>
          <w:tcPr>
            <w:tcW w:w="174" w:type="pct"/>
            <w:tcBorders>
              <w:top w:val="nil"/>
              <w:left w:val="nil"/>
              <w:bottom w:val="dotted" w:sz="4" w:space="0" w:color="auto"/>
              <w:right w:val="double" w:sz="6" w:space="0" w:color="auto"/>
            </w:tcBorders>
            <w:shd w:val="clear" w:color="auto" w:fill="auto"/>
            <w:noWrap/>
            <w:vAlign w:val="bottom"/>
            <w:hideMark/>
          </w:tcPr>
          <w:p w14:paraId="3E27CB1D"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17A7DB20"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1D8E07F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123.</w:t>
            </w:r>
            <w:r w:rsidRPr="00793836">
              <w:rPr>
                <w:rFonts w:eastAsia="Times New Roman" w:cs="Arial"/>
                <w:color w:val="000000"/>
                <w:sz w:val="12"/>
                <w:szCs w:val="12"/>
              </w:rPr>
              <w:t xml:space="preserve">777 </w:t>
            </w:r>
          </w:p>
        </w:tc>
        <w:tc>
          <w:tcPr>
            <w:tcW w:w="359" w:type="pct"/>
            <w:tcBorders>
              <w:top w:val="nil"/>
              <w:left w:val="nil"/>
              <w:bottom w:val="dotted" w:sz="4" w:space="0" w:color="auto"/>
              <w:right w:val="dotted" w:sz="4" w:space="0" w:color="auto"/>
            </w:tcBorders>
            <w:shd w:val="clear" w:color="auto" w:fill="auto"/>
            <w:noWrap/>
            <w:vAlign w:val="center"/>
            <w:hideMark/>
          </w:tcPr>
          <w:p w14:paraId="6CD417B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135.</w:t>
            </w:r>
            <w:r w:rsidRPr="00793836">
              <w:rPr>
                <w:rFonts w:eastAsia="Times New Roman" w:cs="Arial"/>
                <w:color w:val="000000"/>
                <w:sz w:val="12"/>
                <w:szCs w:val="12"/>
              </w:rPr>
              <w:t xml:space="preserve">000 </w:t>
            </w:r>
          </w:p>
        </w:tc>
        <w:tc>
          <w:tcPr>
            <w:tcW w:w="366" w:type="pct"/>
            <w:tcBorders>
              <w:top w:val="nil"/>
              <w:left w:val="nil"/>
              <w:bottom w:val="dotted" w:sz="4" w:space="0" w:color="auto"/>
              <w:right w:val="double" w:sz="6" w:space="0" w:color="auto"/>
            </w:tcBorders>
            <w:shd w:val="clear" w:color="auto" w:fill="auto"/>
            <w:noWrap/>
            <w:vAlign w:val="center"/>
            <w:hideMark/>
          </w:tcPr>
          <w:p w14:paraId="1F9EE641"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(11.</w:t>
            </w:r>
            <w:r w:rsidRPr="00793836">
              <w:rPr>
                <w:rFonts w:eastAsia="Times New Roman" w:cs="Arial"/>
                <w:color w:val="000000"/>
                <w:sz w:val="12"/>
                <w:szCs w:val="12"/>
              </w:rPr>
              <w:t>223)</w:t>
            </w:r>
          </w:p>
        </w:tc>
      </w:tr>
      <w:tr w:rsidR="00AD66A6" w:rsidRPr="00793836" w14:paraId="5CD5B6E3" w14:textId="77777777" w:rsidTr="00AD66A6">
        <w:trPr>
          <w:trHeight w:val="254"/>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09B82B8B"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10.0 Material de comunicación </w:t>
            </w:r>
          </w:p>
        </w:tc>
        <w:tc>
          <w:tcPr>
            <w:tcW w:w="376" w:type="pct"/>
            <w:tcBorders>
              <w:top w:val="nil"/>
              <w:left w:val="nil"/>
              <w:bottom w:val="dotted" w:sz="4" w:space="0" w:color="auto"/>
              <w:right w:val="dotted" w:sz="4" w:space="0" w:color="auto"/>
            </w:tcBorders>
            <w:shd w:val="clear" w:color="auto" w:fill="auto"/>
            <w:vAlign w:val="center"/>
            <w:hideMark/>
          </w:tcPr>
          <w:p w14:paraId="796B16A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3.736.</w:t>
            </w:r>
            <w:r w:rsidRPr="00793836">
              <w:rPr>
                <w:rFonts w:eastAsia="Times New Roman" w:cs="Arial"/>
                <w:color w:val="000000"/>
                <w:sz w:val="12"/>
                <w:szCs w:val="12"/>
              </w:rPr>
              <w:t>254</w:t>
            </w:r>
          </w:p>
        </w:tc>
        <w:tc>
          <w:tcPr>
            <w:tcW w:w="329" w:type="pct"/>
            <w:tcBorders>
              <w:top w:val="nil"/>
              <w:left w:val="nil"/>
              <w:bottom w:val="dotted" w:sz="4" w:space="0" w:color="auto"/>
              <w:right w:val="dotted" w:sz="4" w:space="0" w:color="auto"/>
            </w:tcBorders>
            <w:shd w:val="clear" w:color="auto" w:fill="auto"/>
            <w:vAlign w:val="center"/>
            <w:hideMark/>
          </w:tcPr>
          <w:p w14:paraId="1C504C5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1.513.</w:t>
            </w:r>
            <w:r w:rsidRPr="00793836">
              <w:rPr>
                <w:rFonts w:eastAsia="Times New Roman" w:cs="Arial"/>
                <w:color w:val="000000"/>
                <w:sz w:val="12"/>
                <w:szCs w:val="12"/>
              </w:rPr>
              <w:t>300</w:t>
            </w:r>
          </w:p>
        </w:tc>
        <w:tc>
          <w:tcPr>
            <w:tcW w:w="337" w:type="pct"/>
            <w:tcBorders>
              <w:top w:val="nil"/>
              <w:left w:val="nil"/>
              <w:bottom w:val="dotted" w:sz="4" w:space="0" w:color="auto"/>
              <w:right w:val="dotted" w:sz="4" w:space="0" w:color="auto"/>
            </w:tcBorders>
            <w:shd w:val="clear" w:color="auto" w:fill="auto"/>
            <w:noWrap/>
            <w:vAlign w:val="center"/>
            <w:hideMark/>
          </w:tcPr>
          <w:p w14:paraId="4F8CCF3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2.222.</w:t>
            </w:r>
            <w:r w:rsidRPr="00793836">
              <w:rPr>
                <w:rFonts w:eastAsia="Times New Roman" w:cs="Arial"/>
                <w:color w:val="000000"/>
                <w:sz w:val="12"/>
                <w:szCs w:val="12"/>
              </w:rPr>
              <w:t>954</w:t>
            </w:r>
          </w:p>
        </w:tc>
        <w:tc>
          <w:tcPr>
            <w:tcW w:w="309" w:type="pct"/>
            <w:tcBorders>
              <w:top w:val="nil"/>
              <w:left w:val="nil"/>
              <w:bottom w:val="dotted" w:sz="4" w:space="0" w:color="auto"/>
              <w:right w:val="nil"/>
            </w:tcBorders>
            <w:shd w:val="clear" w:color="auto" w:fill="auto"/>
            <w:vAlign w:val="center"/>
            <w:hideMark/>
          </w:tcPr>
          <w:p w14:paraId="67F63A42"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6C25E88A"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w:t>
            </w:r>
            <w:r>
              <w:rPr>
                <w:rFonts w:eastAsia="Times New Roman" w:cs="Arial"/>
                <w:color w:val="000000"/>
                <w:sz w:val="12"/>
                <w:szCs w:val="12"/>
              </w:rPr>
              <w:t xml:space="preserve">      4.535.</w:t>
            </w:r>
            <w:r w:rsidRPr="00793836">
              <w:rPr>
                <w:rFonts w:eastAsia="Times New Roman" w:cs="Arial"/>
                <w:color w:val="000000"/>
                <w:sz w:val="12"/>
                <w:szCs w:val="12"/>
              </w:rPr>
              <w:t xml:space="preserve">009 </w:t>
            </w:r>
          </w:p>
        </w:tc>
        <w:tc>
          <w:tcPr>
            <w:tcW w:w="369" w:type="pct"/>
            <w:tcBorders>
              <w:top w:val="nil"/>
              <w:left w:val="nil"/>
              <w:bottom w:val="dotted" w:sz="4" w:space="0" w:color="auto"/>
              <w:right w:val="dotted" w:sz="4" w:space="0" w:color="auto"/>
            </w:tcBorders>
            <w:shd w:val="clear" w:color="auto" w:fill="auto"/>
            <w:noWrap/>
            <w:vAlign w:val="center"/>
            <w:hideMark/>
          </w:tcPr>
          <w:p w14:paraId="0556EBE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2.081.</w:t>
            </w:r>
            <w:r w:rsidRPr="00793836">
              <w:rPr>
                <w:rFonts w:eastAsia="Times New Roman" w:cs="Arial"/>
                <w:color w:val="000000"/>
                <w:sz w:val="12"/>
                <w:szCs w:val="12"/>
              </w:rPr>
              <w:t xml:space="preserve">299 </w:t>
            </w:r>
          </w:p>
        </w:tc>
        <w:tc>
          <w:tcPr>
            <w:tcW w:w="359" w:type="pct"/>
            <w:tcBorders>
              <w:top w:val="nil"/>
              <w:left w:val="nil"/>
              <w:bottom w:val="dotted" w:sz="4" w:space="0" w:color="auto"/>
              <w:right w:val="dotted" w:sz="4" w:space="0" w:color="auto"/>
            </w:tcBorders>
            <w:shd w:val="clear" w:color="auto" w:fill="auto"/>
            <w:noWrap/>
            <w:vAlign w:val="center"/>
            <w:hideMark/>
          </w:tcPr>
          <w:p w14:paraId="72A584E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2.453.</w:t>
            </w:r>
            <w:r w:rsidRPr="00793836">
              <w:rPr>
                <w:rFonts w:eastAsia="Times New Roman" w:cs="Arial"/>
                <w:color w:val="000000"/>
                <w:sz w:val="12"/>
                <w:szCs w:val="12"/>
              </w:rPr>
              <w:t xml:space="preserve">710 </w:t>
            </w:r>
          </w:p>
        </w:tc>
        <w:tc>
          <w:tcPr>
            <w:tcW w:w="174" w:type="pct"/>
            <w:tcBorders>
              <w:top w:val="nil"/>
              <w:left w:val="nil"/>
              <w:bottom w:val="dotted" w:sz="4" w:space="0" w:color="auto"/>
              <w:right w:val="double" w:sz="6" w:space="0" w:color="auto"/>
            </w:tcBorders>
            <w:shd w:val="clear" w:color="auto" w:fill="auto"/>
            <w:noWrap/>
            <w:vAlign w:val="bottom"/>
            <w:hideMark/>
          </w:tcPr>
          <w:p w14:paraId="52E7F598"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7C5AF3F"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65E0D45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798.</w:t>
            </w:r>
            <w:r w:rsidRPr="00793836">
              <w:rPr>
                <w:rFonts w:eastAsia="Times New Roman" w:cs="Arial"/>
                <w:color w:val="000000"/>
                <w:sz w:val="12"/>
                <w:szCs w:val="12"/>
              </w:rPr>
              <w:t xml:space="preserve">755 </w:t>
            </w:r>
          </w:p>
        </w:tc>
        <w:tc>
          <w:tcPr>
            <w:tcW w:w="359" w:type="pct"/>
            <w:tcBorders>
              <w:top w:val="nil"/>
              <w:left w:val="nil"/>
              <w:bottom w:val="dotted" w:sz="4" w:space="0" w:color="auto"/>
              <w:right w:val="dotted" w:sz="4" w:space="0" w:color="auto"/>
            </w:tcBorders>
            <w:shd w:val="clear" w:color="auto" w:fill="auto"/>
            <w:noWrap/>
            <w:vAlign w:val="center"/>
            <w:hideMark/>
          </w:tcPr>
          <w:p w14:paraId="7D3FAA6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567.</w:t>
            </w:r>
            <w:r w:rsidRPr="00793836">
              <w:rPr>
                <w:rFonts w:eastAsia="Times New Roman" w:cs="Arial"/>
                <w:color w:val="000000"/>
                <w:sz w:val="12"/>
                <w:szCs w:val="12"/>
              </w:rPr>
              <w:t xml:space="preserve">999 </w:t>
            </w:r>
          </w:p>
        </w:tc>
        <w:tc>
          <w:tcPr>
            <w:tcW w:w="366" w:type="pct"/>
            <w:tcBorders>
              <w:top w:val="nil"/>
              <w:left w:val="nil"/>
              <w:bottom w:val="dotted" w:sz="4" w:space="0" w:color="auto"/>
              <w:right w:val="double" w:sz="6" w:space="0" w:color="auto"/>
            </w:tcBorders>
            <w:shd w:val="clear" w:color="auto" w:fill="auto"/>
            <w:noWrap/>
            <w:vAlign w:val="center"/>
            <w:hideMark/>
          </w:tcPr>
          <w:p w14:paraId="0E794195"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230.</w:t>
            </w:r>
            <w:r w:rsidRPr="00793836">
              <w:rPr>
                <w:rFonts w:eastAsia="Times New Roman" w:cs="Arial"/>
                <w:color w:val="000000"/>
                <w:sz w:val="12"/>
                <w:szCs w:val="12"/>
              </w:rPr>
              <w:t xml:space="preserve">756 </w:t>
            </w:r>
          </w:p>
        </w:tc>
      </w:tr>
      <w:tr w:rsidR="00AD66A6" w:rsidRPr="00793836" w14:paraId="2F21D8DF" w14:textId="77777777" w:rsidTr="00AD66A6">
        <w:trPr>
          <w:trHeight w:val="213"/>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0DD6006E"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xml:space="preserve">11.0 Administración de programas </w:t>
            </w:r>
          </w:p>
        </w:tc>
        <w:tc>
          <w:tcPr>
            <w:tcW w:w="376" w:type="pct"/>
            <w:tcBorders>
              <w:top w:val="nil"/>
              <w:left w:val="nil"/>
              <w:bottom w:val="dotted" w:sz="4" w:space="0" w:color="auto"/>
              <w:right w:val="dotted" w:sz="4" w:space="0" w:color="auto"/>
            </w:tcBorders>
            <w:shd w:val="clear" w:color="auto" w:fill="auto"/>
            <w:vAlign w:val="center"/>
            <w:hideMark/>
          </w:tcPr>
          <w:p w14:paraId="65DB26E5"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4.432.</w:t>
            </w:r>
            <w:r w:rsidRPr="00793836">
              <w:rPr>
                <w:rFonts w:eastAsia="Times New Roman" w:cs="Arial"/>
                <w:color w:val="000000"/>
                <w:sz w:val="12"/>
                <w:szCs w:val="12"/>
              </w:rPr>
              <w:t>379</w:t>
            </w:r>
          </w:p>
        </w:tc>
        <w:tc>
          <w:tcPr>
            <w:tcW w:w="329" w:type="pct"/>
            <w:tcBorders>
              <w:top w:val="nil"/>
              <w:left w:val="nil"/>
              <w:bottom w:val="dotted" w:sz="4" w:space="0" w:color="auto"/>
              <w:right w:val="dotted" w:sz="4" w:space="0" w:color="auto"/>
            </w:tcBorders>
            <w:shd w:val="clear" w:color="auto" w:fill="auto"/>
            <w:vAlign w:val="center"/>
            <w:hideMark/>
          </w:tcPr>
          <w:p w14:paraId="236FFC1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661.</w:t>
            </w:r>
            <w:r w:rsidRPr="00793836">
              <w:rPr>
                <w:rFonts w:eastAsia="Times New Roman" w:cs="Arial"/>
                <w:color w:val="000000"/>
                <w:sz w:val="12"/>
                <w:szCs w:val="12"/>
              </w:rPr>
              <w:t>650</w:t>
            </w:r>
          </w:p>
        </w:tc>
        <w:tc>
          <w:tcPr>
            <w:tcW w:w="337" w:type="pct"/>
            <w:tcBorders>
              <w:top w:val="nil"/>
              <w:left w:val="nil"/>
              <w:bottom w:val="dotted" w:sz="4" w:space="0" w:color="auto"/>
              <w:right w:val="dotted" w:sz="4" w:space="0" w:color="auto"/>
            </w:tcBorders>
            <w:shd w:val="clear" w:color="auto" w:fill="auto"/>
            <w:noWrap/>
            <w:vAlign w:val="center"/>
            <w:hideMark/>
          </w:tcPr>
          <w:p w14:paraId="1A275447"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3.770.</w:t>
            </w:r>
            <w:r w:rsidRPr="00793836">
              <w:rPr>
                <w:rFonts w:eastAsia="Times New Roman" w:cs="Arial"/>
                <w:color w:val="000000"/>
                <w:sz w:val="12"/>
                <w:szCs w:val="12"/>
              </w:rPr>
              <w:t>729</w:t>
            </w:r>
          </w:p>
        </w:tc>
        <w:tc>
          <w:tcPr>
            <w:tcW w:w="309" w:type="pct"/>
            <w:tcBorders>
              <w:top w:val="nil"/>
              <w:left w:val="nil"/>
              <w:bottom w:val="dotted" w:sz="4" w:space="0" w:color="auto"/>
              <w:right w:val="nil"/>
            </w:tcBorders>
            <w:shd w:val="clear" w:color="auto" w:fill="auto"/>
            <w:vAlign w:val="center"/>
            <w:hideMark/>
          </w:tcPr>
          <w:p w14:paraId="71D8F1A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125.</w:t>
            </w:r>
            <w:r w:rsidRPr="00793836">
              <w:rPr>
                <w:rFonts w:eastAsia="Times New Roman" w:cs="Arial"/>
                <w:color w:val="000000"/>
                <w:sz w:val="12"/>
                <w:szCs w:val="12"/>
              </w:rPr>
              <w:t>789</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2ABC311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6.521.</w:t>
            </w:r>
            <w:r w:rsidRPr="00793836">
              <w:rPr>
                <w:rFonts w:eastAsia="Times New Roman" w:cs="Arial"/>
                <w:color w:val="000000"/>
                <w:sz w:val="12"/>
                <w:szCs w:val="12"/>
              </w:rPr>
              <w:t xml:space="preserve">610 </w:t>
            </w:r>
          </w:p>
        </w:tc>
        <w:tc>
          <w:tcPr>
            <w:tcW w:w="369" w:type="pct"/>
            <w:tcBorders>
              <w:top w:val="nil"/>
              <w:left w:val="nil"/>
              <w:bottom w:val="dotted" w:sz="4" w:space="0" w:color="auto"/>
              <w:right w:val="dotted" w:sz="4" w:space="0" w:color="auto"/>
            </w:tcBorders>
            <w:shd w:val="clear" w:color="auto" w:fill="auto"/>
            <w:noWrap/>
            <w:vAlign w:val="center"/>
            <w:hideMark/>
          </w:tcPr>
          <w:p w14:paraId="10B3547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w:t>
            </w:r>
            <w:r w:rsidRPr="00793836">
              <w:rPr>
                <w:rFonts w:eastAsia="Times New Roman" w:cs="Arial"/>
                <w:color w:val="000000"/>
                <w:sz w:val="12"/>
                <w:szCs w:val="12"/>
              </w:rPr>
              <w:t>9</w:t>
            </w:r>
            <w:r>
              <w:rPr>
                <w:rFonts w:eastAsia="Times New Roman" w:cs="Arial"/>
                <w:color w:val="000000"/>
                <w:sz w:val="12"/>
                <w:szCs w:val="12"/>
              </w:rPr>
              <w:t>50.</w:t>
            </w:r>
            <w:r w:rsidRPr="00793836">
              <w:rPr>
                <w:rFonts w:eastAsia="Times New Roman" w:cs="Arial"/>
                <w:color w:val="000000"/>
                <w:sz w:val="12"/>
                <w:szCs w:val="12"/>
              </w:rPr>
              <w:t xml:space="preserve">556 </w:t>
            </w:r>
          </w:p>
        </w:tc>
        <w:tc>
          <w:tcPr>
            <w:tcW w:w="359" w:type="pct"/>
            <w:tcBorders>
              <w:top w:val="nil"/>
              <w:left w:val="nil"/>
              <w:bottom w:val="dotted" w:sz="4" w:space="0" w:color="auto"/>
              <w:right w:val="dotted" w:sz="4" w:space="0" w:color="auto"/>
            </w:tcBorders>
            <w:shd w:val="clear" w:color="auto" w:fill="auto"/>
            <w:noWrap/>
            <w:vAlign w:val="center"/>
            <w:hideMark/>
          </w:tcPr>
          <w:p w14:paraId="4ABAF872"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4.571.</w:t>
            </w:r>
            <w:r w:rsidRPr="00793836">
              <w:rPr>
                <w:rFonts w:eastAsia="Times New Roman" w:cs="Arial"/>
                <w:color w:val="000000"/>
                <w:sz w:val="12"/>
                <w:szCs w:val="12"/>
              </w:rPr>
              <w:t xml:space="preserve">054 </w:t>
            </w:r>
          </w:p>
        </w:tc>
        <w:tc>
          <w:tcPr>
            <w:tcW w:w="174" w:type="pct"/>
            <w:tcBorders>
              <w:top w:val="nil"/>
              <w:left w:val="nil"/>
              <w:bottom w:val="dotted" w:sz="4" w:space="0" w:color="auto"/>
              <w:right w:val="double" w:sz="6" w:space="0" w:color="auto"/>
            </w:tcBorders>
            <w:shd w:val="clear" w:color="auto" w:fill="auto"/>
            <w:noWrap/>
            <w:vAlign w:val="bottom"/>
            <w:hideMark/>
          </w:tcPr>
          <w:p w14:paraId="01DA0A41"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4C8151D"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2ADEC78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2.089.</w:t>
            </w:r>
            <w:r w:rsidRPr="00793836">
              <w:rPr>
                <w:rFonts w:eastAsia="Times New Roman" w:cs="Arial"/>
                <w:color w:val="000000"/>
                <w:sz w:val="12"/>
                <w:szCs w:val="12"/>
              </w:rPr>
              <w:t xml:space="preserve">231 </w:t>
            </w:r>
          </w:p>
        </w:tc>
        <w:tc>
          <w:tcPr>
            <w:tcW w:w="359" w:type="pct"/>
            <w:tcBorders>
              <w:top w:val="nil"/>
              <w:left w:val="nil"/>
              <w:bottom w:val="dotted" w:sz="4" w:space="0" w:color="auto"/>
              <w:right w:val="dotted" w:sz="4" w:space="0" w:color="auto"/>
            </w:tcBorders>
            <w:shd w:val="clear" w:color="auto" w:fill="auto"/>
            <w:noWrap/>
            <w:vAlign w:val="center"/>
            <w:hideMark/>
          </w:tcPr>
          <w:p w14:paraId="3F99C6FC"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1.288.</w:t>
            </w:r>
            <w:r w:rsidRPr="00793836">
              <w:rPr>
                <w:rFonts w:eastAsia="Times New Roman" w:cs="Arial"/>
                <w:color w:val="000000"/>
                <w:sz w:val="12"/>
                <w:szCs w:val="12"/>
              </w:rPr>
              <w:t xml:space="preserve">906 </w:t>
            </w:r>
          </w:p>
        </w:tc>
        <w:tc>
          <w:tcPr>
            <w:tcW w:w="366" w:type="pct"/>
            <w:tcBorders>
              <w:top w:val="nil"/>
              <w:left w:val="nil"/>
              <w:bottom w:val="dotted" w:sz="4" w:space="0" w:color="auto"/>
              <w:right w:val="double" w:sz="6" w:space="0" w:color="auto"/>
            </w:tcBorders>
            <w:shd w:val="clear" w:color="auto" w:fill="auto"/>
            <w:noWrap/>
            <w:vAlign w:val="center"/>
            <w:hideMark/>
          </w:tcPr>
          <w:p w14:paraId="097380D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800.</w:t>
            </w:r>
            <w:r w:rsidRPr="00793836">
              <w:rPr>
                <w:rFonts w:eastAsia="Times New Roman" w:cs="Arial"/>
                <w:color w:val="000000"/>
                <w:sz w:val="12"/>
                <w:szCs w:val="12"/>
              </w:rPr>
              <w:t xml:space="preserve">325 </w:t>
            </w:r>
          </w:p>
        </w:tc>
      </w:tr>
      <w:tr w:rsidR="00AD66A6" w:rsidRPr="00793836" w14:paraId="3852FEA2" w14:textId="77777777" w:rsidTr="00AD66A6">
        <w:trPr>
          <w:trHeight w:val="229"/>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4089C205"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12.0 Apoyo económico</w:t>
            </w:r>
            <w:r>
              <w:rPr>
                <w:rFonts w:eastAsia="Times New Roman" w:cs="Arial"/>
                <w:color w:val="000000"/>
                <w:sz w:val="12"/>
                <w:szCs w:val="12"/>
                <w:lang w:val="es-ES_tradnl"/>
              </w:rPr>
              <w:t xml:space="preserve"> a clientes y grupos de población destinatarios</w:t>
            </w:r>
          </w:p>
        </w:tc>
        <w:tc>
          <w:tcPr>
            <w:tcW w:w="376" w:type="pct"/>
            <w:tcBorders>
              <w:top w:val="nil"/>
              <w:left w:val="nil"/>
              <w:bottom w:val="dotted" w:sz="4" w:space="0" w:color="auto"/>
              <w:right w:val="dotted" w:sz="4" w:space="0" w:color="auto"/>
            </w:tcBorders>
            <w:shd w:val="clear" w:color="auto" w:fill="auto"/>
            <w:vAlign w:val="center"/>
            <w:hideMark/>
          </w:tcPr>
          <w:p w14:paraId="7FE51FF1"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521.</w:t>
            </w:r>
            <w:r w:rsidRPr="00793836">
              <w:rPr>
                <w:rFonts w:eastAsia="Times New Roman" w:cs="Arial"/>
                <w:color w:val="000000"/>
                <w:sz w:val="12"/>
                <w:szCs w:val="12"/>
              </w:rPr>
              <w:t>527</w:t>
            </w:r>
          </w:p>
        </w:tc>
        <w:tc>
          <w:tcPr>
            <w:tcW w:w="329" w:type="pct"/>
            <w:tcBorders>
              <w:top w:val="nil"/>
              <w:left w:val="nil"/>
              <w:bottom w:val="dotted" w:sz="4" w:space="0" w:color="auto"/>
              <w:right w:val="dotted" w:sz="4" w:space="0" w:color="auto"/>
            </w:tcBorders>
            <w:shd w:val="clear" w:color="auto" w:fill="auto"/>
            <w:vAlign w:val="center"/>
            <w:hideMark/>
          </w:tcPr>
          <w:p w14:paraId="1407507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175.</w:t>
            </w:r>
            <w:r w:rsidRPr="00793836">
              <w:rPr>
                <w:rFonts w:eastAsia="Times New Roman" w:cs="Arial"/>
                <w:color w:val="000000"/>
                <w:sz w:val="12"/>
                <w:szCs w:val="12"/>
              </w:rPr>
              <w:t>724</w:t>
            </w:r>
          </w:p>
        </w:tc>
        <w:tc>
          <w:tcPr>
            <w:tcW w:w="337" w:type="pct"/>
            <w:tcBorders>
              <w:top w:val="nil"/>
              <w:left w:val="nil"/>
              <w:bottom w:val="dotted" w:sz="4" w:space="0" w:color="auto"/>
              <w:right w:val="dotted" w:sz="4" w:space="0" w:color="auto"/>
            </w:tcBorders>
            <w:shd w:val="clear" w:color="auto" w:fill="auto"/>
            <w:noWrap/>
            <w:vAlign w:val="center"/>
            <w:hideMark/>
          </w:tcPr>
          <w:p w14:paraId="77A7D9FF"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345.</w:t>
            </w:r>
            <w:r w:rsidRPr="00793836">
              <w:rPr>
                <w:rFonts w:eastAsia="Times New Roman" w:cs="Arial"/>
                <w:color w:val="000000"/>
                <w:sz w:val="12"/>
                <w:szCs w:val="12"/>
              </w:rPr>
              <w:t>803</w:t>
            </w:r>
          </w:p>
        </w:tc>
        <w:tc>
          <w:tcPr>
            <w:tcW w:w="309" w:type="pct"/>
            <w:tcBorders>
              <w:top w:val="nil"/>
              <w:left w:val="nil"/>
              <w:bottom w:val="dotted" w:sz="4" w:space="0" w:color="auto"/>
              <w:right w:val="nil"/>
            </w:tcBorders>
            <w:shd w:val="clear" w:color="auto" w:fill="auto"/>
            <w:vAlign w:val="center"/>
            <w:hideMark/>
          </w:tcPr>
          <w:p w14:paraId="7D62FEDF"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59D8BF4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752.</w:t>
            </w:r>
            <w:r w:rsidRPr="00793836">
              <w:rPr>
                <w:rFonts w:eastAsia="Times New Roman" w:cs="Arial"/>
                <w:color w:val="000000"/>
                <w:sz w:val="12"/>
                <w:szCs w:val="12"/>
              </w:rPr>
              <w:t xml:space="preserve">815 </w:t>
            </w:r>
          </w:p>
        </w:tc>
        <w:tc>
          <w:tcPr>
            <w:tcW w:w="369" w:type="pct"/>
            <w:tcBorders>
              <w:top w:val="nil"/>
              <w:left w:val="nil"/>
              <w:bottom w:val="dotted" w:sz="4" w:space="0" w:color="auto"/>
              <w:right w:val="dotted" w:sz="4" w:space="0" w:color="auto"/>
            </w:tcBorders>
            <w:shd w:val="clear" w:color="auto" w:fill="auto"/>
            <w:noWrap/>
            <w:vAlign w:val="center"/>
            <w:hideMark/>
          </w:tcPr>
          <w:p w14:paraId="6B2FC469"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273.</w:t>
            </w:r>
            <w:r w:rsidRPr="00793836">
              <w:rPr>
                <w:rFonts w:eastAsia="Times New Roman" w:cs="Arial"/>
                <w:color w:val="000000"/>
                <w:sz w:val="12"/>
                <w:szCs w:val="12"/>
              </w:rPr>
              <w:t xml:space="preserve">875 </w:t>
            </w:r>
          </w:p>
        </w:tc>
        <w:tc>
          <w:tcPr>
            <w:tcW w:w="359" w:type="pct"/>
            <w:tcBorders>
              <w:top w:val="nil"/>
              <w:left w:val="nil"/>
              <w:bottom w:val="dotted" w:sz="4" w:space="0" w:color="auto"/>
              <w:right w:val="dotted" w:sz="4" w:space="0" w:color="auto"/>
            </w:tcBorders>
            <w:shd w:val="clear" w:color="auto" w:fill="auto"/>
            <w:noWrap/>
            <w:vAlign w:val="center"/>
            <w:hideMark/>
          </w:tcPr>
          <w:p w14:paraId="228EEF60"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478.</w:t>
            </w:r>
            <w:r w:rsidRPr="00793836">
              <w:rPr>
                <w:rFonts w:eastAsia="Times New Roman" w:cs="Arial"/>
                <w:color w:val="000000"/>
                <w:sz w:val="12"/>
                <w:szCs w:val="12"/>
              </w:rPr>
              <w:t xml:space="preserve">940 </w:t>
            </w:r>
          </w:p>
        </w:tc>
        <w:tc>
          <w:tcPr>
            <w:tcW w:w="174" w:type="pct"/>
            <w:tcBorders>
              <w:top w:val="nil"/>
              <w:left w:val="nil"/>
              <w:bottom w:val="dotted" w:sz="4" w:space="0" w:color="auto"/>
              <w:right w:val="double" w:sz="6" w:space="0" w:color="auto"/>
            </w:tcBorders>
            <w:shd w:val="clear" w:color="auto" w:fill="auto"/>
            <w:noWrap/>
            <w:vAlign w:val="bottom"/>
            <w:hideMark/>
          </w:tcPr>
          <w:p w14:paraId="6081F9D5"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755A56EA"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25C5367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w:t>
            </w:r>
            <w:r>
              <w:rPr>
                <w:rFonts w:eastAsia="Times New Roman" w:cs="Arial"/>
                <w:color w:val="000000"/>
                <w:sz w:val="12"/>
                <w:szCs w:val="12"/>
              </w:rPr>
              <w:t xml:space="preserve">      231.</w:t>
            </w:r>
            <w:r w:rsidRPr="00793836">
              <w:rPr>
                <w:rFonts w:eastAsia="Times New Roman" w:cs="Arial"/>
                <w:color w:val="000000"/>
                <w:sz w:val="12"/>
                <w:szCs w:val="12"/>
              </w:rPr>
              <w:t xml:space="preserve">288 </w:t>
            </w:r>
          </w:p>
        </w:tc>
        <w:tc>
          <w:tcPr>
            <w:tcW w:w="359" w:type="pct"/>
            <w:tcBorders>
              <w:top w:val="nil"/>
              <w:left w:val="nil"/>
              <w:bottom w:val="dotted" w:sz="4" w:space="0" w:color="auto"/>
              <w:right w:val="dotted" w:sz="4" w:space="0" w:color="auto"/>
            </w:tcBorders>
            <w:shd w:val="clear" w:color="auto" w:fill="auto"/>
            <w:noWrap/>
            <w:vAlign w:val="center"/>
            <w:hideMark/>
          </w:tcPr>
          <w:p w14:paraId="19C8070B"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98.</w:t>
            </w:r>
            <w:r w:rsidRPr="00793836">
              <w:rPr>
                <w:rFonts w:eastAsia="Times New Roman" w:cs="Arial"/>
                <w:color w:val="000000"/>
                <w:sz w:val="12"/>
                <w:szCs w:val="12"/>
              </w:rPr>
              <w:t xml:space="preserve">151 </w:t>
            </w:r>
          </w:p>
        </w:tc>
        <w:tc>
          <w:tcPr>
            <w:tcW w:w="366" w:type="pct"/>
            <w:tcBorders>
              <w:top w:val="nil"/>
              <w:left w:val="nil"/>
              <w:bottom w:val="dotted" w:sz="4" w:space="0" w:color="auto"/>
              <w:right w:val="double" w:sz="6" w:space="0" w:color="auto"/>
            </w:tcBorders>
            <w:shd w:val="clear" w:color="auto" w:fill="auto"/>
            <w:noWrap/>
            <w:vAlign w:val="center"/>
            <w:hideMark/>
          </w:tcPr>
          <w:p w14:paraId="29C2FC3A"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133.</w:t>
            </w:r>
            <w:r w:rsidRPr="00793836">
              <w:rPr>
                <w:rFonts w:eastAsia="Times New Roman" w:cs="Arial"/>
                <w:color w:val="000000"/>
                <w:sz w:val="12"/>
                <w:szCs w:val="12"/>
              </w:rPr>
              <w:t xml:space="preserve">137 </w:t>
            </w:r>
          </w:p>
        </w:tc>
      </w:tr>
      <w:tr w:rsidR="00AD66A6" w:rsidRPr="00793836" w14:paraId="2BDFF799" w14:textId="77777777" w:rsidTr="00AD66A6">
        <w:trPr>
          <w:trHeight w:val="254"/>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62FF6437"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13.0 Pago por resultados</w:t>
            </w:r>
          </w:p>
        </w:tc>
        <w:tc>
          <w:tcPr>
            <w:tcW w:w="376" w:type="pct"/>
            <w:tcBorders>
              <w:top w:val="nil"/>
              <w:left w:val="nil"/>
              <w:bottom w:val="dotted" w:sz="4" w:space="0" w:color="auto"/>
              <w:right w:val="dotted" w:sz="4" w:space="0" w:color="auto"/>
            </w:tcBorders>
            <w:shd w:val="clear" w:color="auto" w:fill="auto"/>
            <w:vAlign w:val="center"/>
            <w:hideMark/>
          </w:tcPr>
          <w:p w14:paraId="7AB48A3D" w14:textId="77777777" w:rsidR="00AD66A6" w:rsidRPr="00793836" w:rsidRDefault="00AD66A6" w:rsidP="0038698C">
            <w:pPr>
              <w:jc w:val="right"/>
              <w:rPr>
                <w:rFonts w:eastAsia="Times New Roman" w:cs="Arial"/>
                <w:color w:val="000000"/>
                <w:sz w:val="12"/>
                <w:szCs w:val="12"/>
                <w:u w:val="single"/>
              </w:rPr>
            </w:pPr>
            <w:r>
              <w:rPr>
                <w:rFonts w:eastAsia="Times New Roman" w:cs="Arial"/>
                <w:color w:val="000000"/>
                <w:sz w:val="12"/>
                <w:szCs w:val="12"/>
                <w:u w:val="single"/>
              </w:rPr>
              <w:t>3.736.</w:t>
            </w:r>
            <w:r w:rsidRPr="00793836">
              <w:rPr>
                <w:rFonts w:eastAsia="Times New Roman" w:cs="Arial"/>
                <w:color w:val="000000"/>
                <w:sz w:val="12"/>
                <w:szCs w:val="12"/>
                <w:u w:val="single"/>
              </w:rPr>
              <w:t>254</w:t>
            </w:r>
          </w:p>
        </w:tc>
        <w:tc>
          <w:tcPr>
            <w:tcW w:w="329" w:type="pct"/>
            <w:tcBorders>
              <w:top w:val="nil"/>
              <w:left w:val="nil"/>
              <w:bottom w:val="dotted" w:sz="4" w:space="0" w:color="auto"/>
              <w:right w:val="dotted" w:sz="4" w:space="0" w:color="auto"/>
            </w:tcBorders>
            <w:shd w:val="clear" w:color="auto" w:fill="auto"/>
            <w:vAlign w:val="center"/>
            <w:hideMark/>
          </w:tcPr>
          <w:p w14:paraId="7B283474" w14:textId="77777777" w:rsidR="00AD66A6" w:rsidRPr="00793836" w:rsidRDefault="00AD66A6" w:rsidP="0038698C">
            <w:pPr>
              <w:jc w:val="right"/>
              <w:rPr>
                <w:rFonts w:eastAsia="Times New Roman" w:cs="Arial"/>
                <w:color w:val="000000"/>
                <w:sz w:val="12"/>
                <w:szCs w:val="12"/>
                <w:u w:val="single"/>
              </w:rPr>
            </w:pPr>
            <w:r>
              <w:rPr>
                <w:rFonts w:eastAsia="Times New Roman" w:cs="Arial"/>
                <w:color w:val="000000"/>
                <w:sz w:val="12"/>
                <w:szCs w:val="12"/>
                <w:u w:val="single"/>
              </w:rPr>
              <w:t>1.513.</w:t>
            </w:r>
            <w:r w:rsidRPr="00793836">
              <w:rPr>
                <w:rFonts w:eastAsia="Times New Roman" w:cs="Arial"/>
                <w:color w:val="000000"/>
                <w:sz w:val="12"/>
                <w:szCs w:val="12"/>
                <w:u w:val="single"/>
              </w:rPr>
              <w:t>300</w:t>
            </w:r>
          </w:p>
        </w:tc>
        <w:tc>
          <w:tcPr>
            <w:tcW w:w="337" w:type="pct"/>
            <w:tcBorders>
              <w:top w:val="nil"/>
              <w:left w:val="nil"/>
              <w:bottom w:val="dotted" w:sz="4" w:space="0" w:color="auto"/>
              <w:right w:val="dotted" w:sz="4" w:space="0" w:color="auto"/>
            </w:tcBorders>
            <w:shd w:val="clear" w:color="auto" w:fill="auto"/>
            <w:noWrap/>
            <w:vAlign w:val="center"/>
            <w:hideMark/>
          </w:tcPr>
          <w:p w14:paraId="50712E5D" w14:textId="77777777" w:rsidR="00AD66A6" w:rsidRPr="00793836" w:rsidRDefault="00AD66A6" w:rsidP="0038698C">
            <w:pPr>
              <w:jc w:val="right"/>
              <w:rPr>
                <w:rFonts w:eastAsia="Times New Roman" w:cs="Arial"/>
                <w:color w:val="000000"/>
                <w:sz w:val="12"/>
                <w:szCs w:val="12"/>
                <w:u w:val="single"/>
              </w:rPr>
            </w:pPr>
            <w:r>
              <w:rPr>
                <w:rFonts w:eastAsia="Times New Roman" w:cs="Arial"/>
                <w:color w:val="000000"/>
                <w:sz w:val="12"/>
                <w:szCs w:val="12"/>
                <w:u w:val="single"/>
              </w:rPr>
              <w:t>2.222.</w:t>
            </w:r>
            <w:r w:rsidRPr="00793836">
              <w:rPr>
                <w:rFonts w:eastAsia="Times New Roman" w:cs="Arial"/>
                <w:color w:val="000000"/>
                <w:sz w:val="12"/>
                <w:szCs w:val="12"/>
                <w:u w:val="single"/>
              </w:rPr>
              <w:t>954</w:t>
            </w:r>
          </w:p>
        </w:tc>
        <w:tc>
          <w:tcPr>
            <w:tcW w:w="309" w:type="pct"/>
            <w:tcBorders>
              <w:top w:val="nil"/>
              <w:left w:val="nil"/>
              <w:bottom w:val="dotted" w:sz="4" w:space="0" w:color="auto"/>
              <w:right w:val="nil"/>
            </w:tcBorders>
            <w:shd w:val="clear" w:color="auto" w:fill="auto"/>
            <w:vAlign w:val="center"/>
            <w:hideMark/>
          </w:tcPr>
          <w:p w14:paraId="210C991A"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7B5A42D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4.466.</w:t>
            </w:r>
            <w:r w:rsidRPr="00793836">
              <w:rPr>
                <w:rFonts w:eastAsia="Times New Roman" w:cs="Arial"/>
                <w:color w:val="000000"/>
                <w:sz w:val="12"/>
                <w:szCs w:val="12"/>
              </w:rPr>
              <w:t xml:space="preserve">352 </w:t>
            </w:r>
          </w:p>
        </w:tc>
        <w:tc>
          <w:tcPr>
            <w:tcW w:w="369" w:type="pct"/>
            <w:tcBorders>
              <w:top w:val="nil"/>
              <w:left w:val="nil"/>
              <w:bottom w:val="dotted" w:sz="4" w:space="0" w:color="auto"/>
              <w:right w:val="dotted" w:sz="4" w:space="0" w:color="auto"/>
            </w:tcBorders>
            <w:shd w:val="clear" w:color="auto" w:fill="auto"/>
            <w:noWrap/>
            <w:vAlign w:val="center"/>
            <w:hideMark/>
          </w:tcPr>
          <w:p w14:paraId="50C28453"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1.513.</w:t>
            </w:r>
            <w:r w:rsidRPr="00793836">
              <w:rPr>
                <w:rFonts w:eastAsia="Times New Roman" w:cs="Arial"/>
                <w:color w:val="000000"/>
                <w:sz w:val="12"/>
                <w:szCs w:val="12"/>
              </w:rPr>
              <w:t xml:space="preserve">300 </w:t>
            </w:r>
          </w:p>
        </w:tc>
        <w:tc>
          <w:tcPr>
            <w:tcW w:w="359" w:type="pct"/>
            <w:tcBorders>
              <w:top w:val="nil"/>
              <w:left w:val="nil"/>
              <w:bottom w:val="dotted" w:sz="4" w:space="0" w:color="auto"/>
              <w:right w:val="dotted" w:sz="4" w:space="0" w:color="auto"/>
            </w:tcBorders>
            <w:shd w:val="clear" w:color="auto" w:fill="auto"/>
            <w:noWrap/>
            <w:vAlign w:val="center"/>
            <w:hideMark/>
          </w:tcPr>
          <w:p w14:paraId="515B3EBD"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2.953.</w:t>
            </w:r>
            <w:r w:rsidRPr="00793836">
              <w:rPr>
                <w:rFonts w:eastAsia="Times New Roman" w:cs="Arial"/>
                <w:color w:val="000000"/>
                <w:sz w:val="12"/>
                <w:szCs w:val="12"/>
              </w:rPr>
              <w:t xml:space="preserve">052 </w:t>
            </w:r>
          </w:p>
        </w:tc>
        <w:tc>
          <w:tcPr>
            <w:tcW w:w="174" w:type="pct"/>
            <w:tcBorders>
              <w:top w:val="nil"/>
              <w:left w:val="nil"/>
              <w:bottom w:val="dotted" w:sz="4" w:space="0" w:color="auto"/>
              <w:right w:val="double" w:sz="6" w:space="0" w:color="auto"/>
            </w:tcBorders>
            <w:shd w:val="clear" w:color="auto" w:fill="auto"/>
            <w:noWrap/>
            <w:vAlign w:val="bottom"/>
            <w:hideMark/>
          </w:tcPr>
          <w:p w14:paraId="3482C9A7"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187EE236"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56B90396"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730.</w:t>
            </w:r>
            <w:r w:rsidRPr="00793836">
              <w:rPr>
                <w:rFonts w:eastAsia="Times New Roman" w:cs="Arial"/>
                <w:color w:val="000000"/>
                <w:sz w:val="12"/>
                <w:szCs w:val="12"/>
              </w:rPr>
              <w:t xml:space="preserve">098 </w:t>
            </w:r>
          </w:p>
        </w:tc>
        <w:tc>
          <w:tcPr>
            <w:tcW w:w="359" w:type="pct"/>
            <w:tcBorders>
              <w:top w:val="nil"/>
              <w:left w:val="nil"/>
              <w:bottom w:val="dotted" w:sz="4" w:space="0" w:color="auto"/>
              <w:right w:val="dotted" w:sz="4" w:space="0" w:color="auto"/>
            </w:tcBorders>
            <w:shd w:val="clear" w:color="auto" w:fill="auto"/>
            <w:noWrap/>
            <w:vAlign w:val="center"/>
            <w:hideMark/>
          </w:tcPr>
          <w:p w14:paraId="12CB86C2"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   </w:t>
            </w:r>
          </w:p>
        </w:tc>
        <w:tc>
          <w:tcPr>
            <w:tcW w:w="366" w:type="pct"/>
            <w:tcBorders>
              <w:top w:val="nil"/>
              <w:left w:val="nil"/>
              <w:bottom w:val="dotted" w:sz="4" w:space="0" w:color="auto"/>
              <w:right w:val="double" w:sz="6" w:space="0" w:color="auto"/>
            </w:tcBorders>
            <w:shd w:val="clear" w:color="auto" w:fill="auto"/>
            <w:noWrap/>
            <w:vAlign w:val="center"/>
            <w:hideMark/>
          </w:tcPr>
          <w:p w14:paraId="24FD7E38" w14:textId="77777777" w:rsidR="00AD66A6" w:rsidRPr="00793836" w:rsidRDefault="00AD66A6" w:rsidP="0038698C">
            <w:pPr>
              <w:jc w:val="right"/>
              <w:rPr>
                <w:rFonts w:eastAsia="Times New Roman" w:cs="Arial"/>
                <w:color w:val="000000"/>
                <w:sz w:val="12"/>
                <w:szCs w:val="12"/>
              </w:rPr>
            </w:pPr>
            <w:r>
              <w:rPr>
                <w:rFonts w:eastAsia="Times New Roman" w:cs="Arial"/>
                <w:color w:val="000000"/>
                <w:sz w:val="12"/>
                <w:szCs w:val="12"/>
              </w:rPr>
              <w:t xml:space="preserve">               730.</w:t>
            </w:r>
            <w:r w:rsidRPr="00793836">
              <w:rPr>
                <w:rFonts w:eastAsia="Times New Roman" w:cs="Arial"/>
                <w:color w:val="000000"/>
                <w:sz w:val="12"/>
                <w:szCs w:val="12"/>
              </w:rPr>
              <w:t xml:space="preserve">098 </w:t>
            </w:r>
          </w:p>
        </w:tc>
      </w:tr>
      <w:tr w:rsidR="00AD66A6" w:rsidRPr="00793836" w14:paraId="4CE7E2DD" w14:textId="77777777" w:rsidTr="00AD66A6">
        <w:trPr>
          <w:trHeight w:val="62"/>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4A2A6679"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 </w:t>
            </w:r>
          </w:p>
        </w:tc>
        <w:tc>
          <w:tcPr>
            <w:tcW w:w="376" w:type="pct"/>
            <w:tcBorders>
              <w:top w:val="nil"/>
              <w:left w:val="nil"/>
              <w:bottom w:val="dotted" w:sz="4" w:space="0" w:color="auto"/>
              <w:right w:val="dotted" w:sz="4" w:space="0" w:color="auto"/>
            </w:tcBorders>
            <w:shd w:val="clear" w:color="auto" w:fill="auto"/>
            <w:vAlign w:val="center"/>
            <w:hideMark/>
          </w:tcPr>
          <w:p w14:paraId="57AA0B25"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29" w:type="pct"/>
            <w:tcBorders>
              <w:top w:val="nil"/>
              <w:left w:val="nil"/>
              <w:bottom w:val="dotted" w:sz="4" w:space="0" w:color="auto"/>
              <w:right w:val="dotted" w:sz="4" w:space="0" w:color="auto"/>
            </w:tcBorders>
            <w:shd w:val="clear" w:color="auto" w:fill="auto"/>
            <w:vAlign w:val="center"/>
            <w:hideMark/>
          </w:tcPr>
          <w:p w14:paraId="317A6674"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37" w:type="pct"/>
            <w:tcBorders>
              <w:top w:val="nil"/>
              <w:left w:val="nil"/>
              <w:bottom w:val="dotted" w:sz="4" w:space="0" w:color="auto"/>
              <w:right w:val="dotted" w:sz="4" w:space="0" w:color="auto"/>
            </w:tcBorders>
            <w:shd w:val="clear" w:color="auto" w:fill="auto"/>
            <w:noWrap/>
            <w:vAlign w:val="center"/>
            <w:hideMark/>
          </w:tcPr>
          <w:p w14:paraId="3FB94C14"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09" w:type="pct"/>
            <w:tcBorders>
              <w:top w:val="nil"/>
              <w:left w:val="nil"/>
              <w:bottom w:val="dotted" w:sz="4" w:space="0" w:color="auto"/>
              <w:right w:val="nil"/>
            </w:tcBorders>
            <w:shd w:val="clear" w:color="auto" w:fill="auto"/>
            <w:vAlign w:val="center"/>
            <w:hideMark/>
          </w:tcPr>
          <w:p w14:paraId="42A8703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52E686E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9" w:type="pct"/>
            <w:tcBorders>
              <w:top w:val="nil"/>
              <w:left w:val="nil"/>
              <w:bottom w:val="dotted" w:sz="4" w:space="0" w:color="auto"/>
              <w:right w:val="dotted" w:sz="4" w:space="0" w:color="auto"/>
            </w:tcBorders>
            <w:shd w:val="clear" w:color="auto" w:fill="auto"/>
            <w:noWrap/>
            <w:vAlign w:val="bottom"/>
            <w:hideMark/>
          </w:tcPr>
          <w:p w14:paraId="70D18B2D"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center"/>
            <w:hideMark/>
          </w:tcPr>
          <w:p w14:paraId="31D53FF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174" w:type="pct"/>
            <w:tcBorders>
              <w:top w:val="nil"/>
              <w:left w:val="nil"/>
              <w:bottom w:val="dotted" w:sz="4" w:space="0" w:color="auto"/>
              <w:right w:val="double" w:sz="6" w:space="0" w:color="auto"/>
            </w:tcBorders>
            <w:shd w:val="clear" w:color="auto" w:fill="auto"/>
            <w:noWrap/>
            <w:vAlign w:val="bottom"/>
            <w:hideMark/>
          </w:tcPr>
          <w:p w14:paraId="5D0317D4"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5AB615F4"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167507BC"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center"/>
            <w:hideMark/>
          </w:tcPr>
          <w:p w14:paraId="22B685D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6" w:type="pct"/>
            <w:tcBorders>
              <w:top w:val="nil"/>
              <w:left w:val="nil"/>
              <w:bottom w:val="dotted" w:sz="4" w:space="0" w:color="auto"/>
              <w:right w:val="double" w:sz="6" w:space="0" w:color="auto"/>
            </w:tcBorders>
            <w:shd w:val="clear" w:color="auto" w:fill="auto"/>
            <w:noWrap/>
            <w:vAlign w:val="center"/>
            <w:hideMark/>
          </w:tcPr>
          <w:p w14:paraId="4F38B0EA"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xml:space="preserve">                          -   </w:t>
            </w:r>
          </w:p>
        </w:tc>
      </w:tr>
      <w:tr w:rsidR="00AD66A6" w:rsidRPr="00793836" w14:paraId="37DC1242" w14:textId="77777777" w:rsidTr="00AD66A6">
        <w:trPr>
          <w:trHeight w:val="202"/>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76F71AAA" w14:textId="77777777" w:rsidR="00AD66A6" w:rsidRPr="00125B76" w:rsidRDefault="00AD66A6" w:rsidP="0038698C">
            <w:pPr>
              <w:rPr>
                <w:rFonts w:eastAsia="Times New Roman" w:cs="Arial"/>
                <w:b/>
                <w:bCs/>
                <w:color w:val="000000"/>
                <w:sz w:val="12"/>
                <w:szCs w:val="12"/>
                <w:lang w:val="es-ES_tradnl"/>
              </w:rPr>
            </w:pPr>
            <w:r>
              <w:rPr>
                <w:rFonts w:eastAsia="Times New Roman" w:cs="Arial"/>
                <w:b/>
                <w:bCs/>
                <w:color w:val="000000"/>
                <w:sz w:val="12"/>
                <w:szCs w:val="12"/>
                <w:lang w:val="es-ES_tradnl"/>
              </w:rPr>
              <w:t>Usos totales</w:t>
            </w:r>
            <w:r w:rsidRPr="00125B76">
              <w:rPr>
                <w:rFonts w:eastAsia="Times New Roman" w:cs="Arial"/>
                <w:b/>
                <w:bCs/>
                <w:color w:val="000000"/>
                <w:sz w:val="12"/>
                <w:szCs w:val="12"/>
                <w:lang w:val="es-ES_tradnl"/>
              </w:rPr>
              <w:t xml:space="preserve"> de los fondos de subvención </w:t>
            </w:r>
          </w:p>
        </w:tc>
        <w:tc>
          <w:tcPr>
            <w:tcW w:w="376" w:type="pct"/>
            <w:tcBorders>
              <w:top w:val="nil"/>
              <w:left w:val="nil"/>
              <w:bottom w:val="dotted" w:sz="4" w:space="0" w:color="auto"/>
              <w:right w:val="dotted" w:sz="4" w:space="0" w:color="auto"/>
            </w:tcBorders>
            <w:shd w:val="clear" w:color="auto" w:fill="auto"/>
            <w:noWrap/>
            <w:vAlign w:val="center"/>
            <w:hideMark/>
          </w:tcPr>
          <w:p w14:paraId="00C6D88F"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38.496.</w:t>
            </w:r>
            <w:r w:rsidRPr="00793836">
              <w:rPr>
                <w:rFonts w:eastAsia="Times New Roman" w:cs="Arial"/>
                <w:b/>
                <w:bCs/>
                <w:color w:val="000000"/>
                <w:sz w:val="12"/>
                <w:szCs w:val="12"/>
              </w:rPr>
              <w:t>894</w:t>
            </w:r>
          </w:p>
        </w:tc>
        <w:tc>
          <w:tcPr>
            <w:tcW w:w="329" w:type="pct"/>
            <w:tcBorders>
              <w:top w:val="nil"/>
              <w:left w:val="nil"/>
              <w:bottom w:val="dotted" w:sz="4" w:space="0" w:color="auto"/>
              <w:right w:val="dotted" w:sz="4" w:space="0" w:color="auto"/>
            </w:tcBorders>
            <w:shd w:val="clear" w:color="auto" w:fill="auto"/>
            <w:noWrap/>
            <w:vAlign w:val="center"/>
            <w:hideMark/>
          </w:tcPr>
          <w:p w14:paraId="676E8F8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10.915.</w:t>
            </w:r>
            <w:r w:rsidRPr="00793836">
              <w:rPr>
                <w:rFonts w:eastAsia="Times New Roman" w:cs="Arial"/>
                <w:b/>
                <w:bCs/>
                <w:color w:val="000000"/>
                <w:sz w:val="12"/>
                <w:szCs w:val="12"/>
              </w:rPr>
              <w:t>996</w:t>
            </w:r>
          </w:p>
        </w:tc>
        <w:tc>
          <w:tcPr>
            <w:tcW w:w="337" w:type="pct"/>
            <w:tcBorders>
              <w:top w:val="nil"/>
              <w:left w:val="nil"/>
              <w:bottom w:val="dotted" w:sz="4" w:space="0" w:color="auto"/>
              <w:right w:val="dotted" w:sz="4" w:space="0" w:color="auto"/>
            </w:tcBorders>
            <w:shd w:val="clear" w:color="auto" w:fill="auto"/>
            <w:noWrap/>
            <w:vAlign w:val="center"/>
            <w:hideMark/>
          </w:tcPr>
          <w:p w14:paraId="17854D5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27.580.</w:t>
            </w:r>
            <w:r w:rsidRPr="00793836">
              <w:rPr>
                <w:rFonts w:eastAsia="Times New Roman" w:cs="Arial"/>
                <w:b/>
                <w:bCs/>
                <w:color w:val="000000"/>
                <w:sz w:val="12"/>
                <w:szCs w:val="12"/>
              </w:rPr>
              <w:t>898</w:t>
            </w:r>
          </w:p>
        </w:tc>
        <w:tc>
          <w:tcPr>
            <w:tcW w:w="309" w:type="pct"/>
            <w:tcBorders>
              <w:top w:val="nil"/>
              <w:left w:val="nil"/>
              <w:bottom w:val="dotted" w:sz="4" w:space="0" w:color="auto"/>
              <w:right w:val="nil"/>
            </w:tcBorders>
            <w:shd w:val="clear" w:color="auto" w:fill="auto"/>
            <w:vAlign w:val="center"/>
            <w:hideMark/>
          </w:tcPr>
          <w:p w14:paraId="6FF4EE5A"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2268D42E"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54.396.</w:t>
            </w:r>
            <w:r w:rsidRPr="00793836">
              <w:rPr>
                <w:rFonts w:eastAsia="Times New Roman" w:cs="Arial"/>
                <w:b/>
                <w:bCs/>
                <w:color w:val="000000"/>
                <w:sz w:val="12"/>
                <w:szCs w:val="12"/>
              </w:rPr>
              <w:t xml:space="preserve">894 </w:t>
            </w:r>
          </w:p>
        </w:tc>
        <w:tc>
          <w:tcPr>
            <w:tcW w:w="369" w:type="pct"/>
            <w:tcBorders>
              <w:top w:val="nil"/>
              <w:left w:val="nil"/>
              <w:bottom w:val="dotted" w:sz="4" w:space="0" w:color="auto"/>
              <w:right w:val="dotted" w:sz="4" w:space="0" w:color="auto"/>
            </w:tcBorders>
            <w:shd w:val="clear" w:color="auto" w:fill="auto"/>
            <w:noWrap/>
            <w:vAlign w:val="center"/>
            <w:hideMark/>
          </w:tcPr>
          <w:p w14:paraId="2AA0A854"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21.793.</w:t>
            </w:r>
            <w:r w:rsidRPr="00793836">
              <w:rPr>
                <w:rFonts w:eastAsia="Times New Roman" w:cs="Arial"/>
                <w:b/>
                <w:bCs/>
                <w:color w:val="000000"/>
                <w:sz w:val="12"/>
                <w:szCs w:val="12"/>
              </w:rPr>
              <w:t xml:space="preserve">907 </w:t>
            </w:r>
          </w:p>
        </w:tc>
        <w:tc>
          <w:tcPr>
            <w:tcW w:w="359" w:type="pct"/>
            <w:tcBorders>
              <w:top w:val="nil"/>
              <w:left w:val="nil"/>
              <w:bottom w:val="dotted" w:sz="4" w:space="0" w:color="auto"/>
              <w:right w:val="dotted" w:sz="4" w:space="0" w:color="auto"/>
            </w:tcBorders>
            <w:shd w:val="clear" w:color="auto" w:fill="auto"/>
            <w:noWrap/>
            <w:vAlign w:val="center"/>
            <w:hideMark/>
          </w:tcPr>
          <w:p w14:paraId="70665A2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32.602.</w:t>
            </w:r>
            <w:r w:rsidRPr="00793836">
              <w:rPr>
                <w:rFonts w:eastAsia="Times New Roman" w:cs="Arial"/>
                <w:b/>
                <w:bCs/>
                <w:color w:val="000000"/>
                <w:sz w:val="12"/>
                <w:szCs w:val="12"/>
              </w:rPr>
              <w:t xml:space="preserve">987 </w:t>
            </w:r>
          </w:p>
        </w:tc>
        <w:tc>
          <w:tcPr>
            <w:tcW w:w="174" w:type="pct"/>
            <w:tcBorders>
              <w:top w:val="nil"/>
              <w:left w:val="nil"/>
              <w:bottom w:val="dotted" w:sz="4" w:space="0" w:color="auto"/>
              <w:right w:val="double" w:sz="6" w:space="0" w:color="auto"/>
            </w:tcBorders>
            <w:shd w:val="clear" w:color="auto" w:fill="auto"/>
            <w:noWrap/>
            <w:vAlign w:val="bottom"/>
            <w:hideMark/>
          </w:tcPr>
          <w:p w14:paraId="219DA0DA"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37308976"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5C164B88"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15.900.</w:t>
            </w:r>
            <w:r w:rsidRPr="00793836">
              <w:rPr>
                <w:rFonts w:eastAsia="Times New Roman" w:cs="Arial"/>
                <w:b/>
                <w:bCs/>
                <w:color w:val="000000"/>
                <w:sz w:val="12"/>
                <w:szCs w:val="12"/>
              </w:rPr>
              <w:t xml:space="preserve">000 </w:t>
            </w:r>
          </w:p>
        </w:tc>
        <w:tc>
          <w:tcPr>
            <w:tcW w:w="359" w:type="pct"/>
            <w:tcBorders>
              <w:top w:val="nil"/>
              <w:left w:val="nil"/>
              <w:bottom w:val="dotted" w:sz="4" w:space="0" w:color="auto"/>
              <w:right w:val="dotted" w:sz="4" w:space="0" w:color="auto"/>
            </w:tcBorders>
            <w:shd w:val="clear" w:color="auto" w:fill="auto"/>
            <w:noWrap/>
            <w:vAlign w:val="center"/>
            <w:hideMark/>
          </w:tcPr>
          <w:p w14:paraId="5E5C8E2D"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10.</w:t>
            </w:r>
            <w:r w:rsidRPr="00793836">
              <w:rPr>
                <w:rFonts w:eastAsia="Times New Roman" w:cs="Arial"/>
                <w:b/>
                <w:bCs/>
                <w:color w:val="000000"/>
                <w:sz w:val="12"/>
                <w:szCs w:val="12"/>
              </w:rPr>
              <w:t>877</w:t>
            </w:r>
            <w:r>
              <w:rPr>
                <w:rFonts w:eastAsia="Times New Roman" w:cs="Arial"/>
                <w:b/>
                <w:bCs/>
                <w:color w:val="000000"/>
                <w:sz w:val="12"/>
                <w:szCs w:val="12"/>
              </w:rPr>
              <w:t>.</w:t>
            </w:r>
            <w:r w:rsidRPr="00793836">
              <w:rPr>
                <w:rFonts w:eastAsia="Times New Roman" w:cs="Arial"/>
                <w:b/>
                <w:bCs/>
                <w:color w:val="000000"/>
                <w:sz w:val="12"/>
                <w:szCs w:val="12"/>
              </w:rPr>
              <w:t xml:space="preserve">911 </w:t>
            </w:r>
          </w:p>
        </w:tc>
        <w:tc>
          <w:tcPr>
            <w:tcW w:w="366" w:type="pct"/>
            <w:tcBorders>
              <w:top w:val="nil"/>
              <w:left w:val="nil"/>
              <w:bottom w:val="dotted" w:sz="4" w:space="0" w:color="auto"/>
              <w:right w:val="double" w:sz="6" w:space="0" w:color="auto"/>
            </w:tcBorders>
            <w:shd w:val="clear" w:color="auto" w:fill="auto"/>
            <w:noWrap/>
            <w:vAlign w:val="center"/>
            <w:hideMark/>
          </w:tcPr>
          <w:p w14:paraId="1FC73229"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 xml:space="preserve">          5.022.</w:t>
            </w:r>
            <w:r w:rsidRPr="00793836">
              <w:rPr>
                <w:rFonts w:eastAsia="Times New Roman" w:cs="Arial"/>
                <w:b/>
                <w:bCs/>
                <w:color w:val="000000"/>
                <w:sz w:val="12"/>
                <w:szCs w:val="12"/>
              </w:rPr>
              <w:t xml:space="preserve">089 </w:t>
            </w:r>
          </w:p>
        </w:tc>
      </w:tr>
      <w:tr w:rsidR="00AD66A6" w:rsidRPr="00793836" w14:paraId="67A7535E" w14:textId="77777777" w:rsidTr="00AD66A6">
        <w:trPr>
          <w:trHeight w:val="264"/>
        </w:trPr>
        <w:tc>
          <w:tcPr>
            <w:tcW w:w="1182" w:type="pct"/>
            <w:tcBorders>
              <w:top w:val="nil"/>
              <w:left w:val="double" w:sz="6" w:space="0" w:color="auto"/>
              <w:bottom w:val="dotted" w:sz="4" w:space="0" w:color="auto"/>
              <w:right w:val="dotted" w:sz="4" w:space="0" w:color="auto"/>
            </w:tcBorders>
            <w:shd w:val="clear" w:color="auto" w:fill="auto"/>
            <w:vAlign w:val="center"/>
            <w:hideMark/>
          </w:tcPr>
          <w:p w14:paraId="10B52CC5" w14:textId="77777777" w:rsidR="00AD66A6" w:rsidRPr="00125B76" w:rsidRDefault="00AD66A6" w:rsidP="0038698C">
            <w:pPr>
              <w:rPr>
                <w:rFonts w:eastAsia="Times New Roman" w:cs="Arial"/>
                <w:color w:val="000000"/>
                <w:sz w:val="12"/>
                <w:szCs w:val="12"/>
                <w:lang w:val="es-ES_tradnl"/>
              </w:rPr>
            </w:pPr>
            <w:r w:rsidRPr="00125B76">
              <w:rPr>
                <w:rFonts w:eastAsia="Times New Roman" w:cs="Arial"/>
                <w:color w:val="000000"/>
                <w:sz w:val="12"/>
                <w:szCs w:val="12"/>
                <w:lang w:val="es-ES_tradnl"/>
              </w:rPr>
              <w:t>Compromisos totales a 31.12.2019</w:t>
            </w:r>
          </w:p>
        </w:tc>
        <w:tc>
          <w:tcPr>
            <w:tcW w:w="376" w:type="pct"/>
            <w:tcBorders>
              <w:top w:val="nil"/>
              <w:left w:val="nil"/>
              <w:bottom w:val="dotted" w:sz="4" w:space="0" w:color="auto"/>
              <w:right w:val="dotted" w:sz="4" w:space="0" w:color="auto"/>
            </w:tcBorders>
            <w:shd w:val="clear" w:color="auto" w:fill="auto"/>
            <w:vAlign w:val="center"/>
            <w:hideMark/>
          </w:tcPr>
          <w:p w14:paraId="11833D4A" w14:textId="77777777" w:rsidR="00AD66A6" w:rsidRPr="00793836" w:rsidRDefault="00AD66A6" w:rsidP="0038698C">
            <w:pPr>
              <w:rPr>
                <w:rFonts w:eastAsia="Times New Roman" w:cs="Arial"/>
                <w:b/>
                <w:bCs/>
                <w:color w:val="000000"/>
                <w:sz w:val="12"/>
                <w:szCs w:val="12"/>
              </w:rPr>
            </w:pPr>
            <w:r w:rsidRPr="00793836">
              <w:rPr>
                <w:rFonts w:eastAsia="Times New Roman" w:cs="Arial"/>
                <w:b/>
                <w:bCs/>
                <w:color w:val="000000"/>
                <w:sz w:val="12"/>
                <w:szCs w:val="12"/>
              </w:rPr>
              <w:t> </w:t>
            </w:r>
          </w:p>
        </w:tc>
        <w:tc>
          <w:tcPr>
            <w:tcW w:w="329" w:type="pct"/>
            <w:tcBorders>
              <w:top w:val="nil"/>
              <w:left w:val="nil"/>
              <w:bottom w:val="dotted" w:sz="4" w:space="0" w:color="auto"/>
              <w:right w:val="dotted" w:sz="4" w:space="0" w:color="auto"/>
            </w:tcBorders>
            <w:shd w:val="clear" w:color="auto" w:fill="auto"/>
            <w:vAlign w:val="center"/>
            <w:hideMark/>
          </w:tcPr>
          <w:p w14:paraId="72D2EA70" w14:textId="77777777" w:rsidR="00AD66A6" w:rsidRPr="00793836" w:rsidRDefault="00AD66A6" w:rsidP="0038698C">
            <w:pPr>
              <w:rPr>
                <w:rFonts w:eastAsia="Times New Roman" w:cs="Arial"/>
                <w:b/>
                <w:bCs/>
                <w:color w:val="000000"/>
                <w:sz w:val="12"/>
                <w:szCs w:val="12"/>
              </w:rPr>
            </w:pPr>
            <w:r w:rsidRPr="00793836">
              <w:rPr>
                <w:rFonts w:eastAsia="Times New Roman" w:cs="Arial"/>
                <w:b/>
                <w:bCs/>
                <w:color w:val="000000"/>
                <w:sz w:val="12"/>
                <w:szCs w:val="12"/>
              </w:rPr>
              <w:t> </w:t>
            </w:r>
          </w:p>
        </w:tc>
        <w:tc>
          <w:tcPr>
            <w:tcW w:w="337" w:type="pct"/>
            <w:tcBorders>
              <w:top w:val="nil"/>
              <w:left w:val="nil"/>
              <w:bottom w:val="dotted" w:sz="4" w:space="0" w:color="auto"/>
              <w:right w:val="dotted" w:sz="4" w:space="0" w:color="auto"/>
            </w:tcBorders>
            <w:shd w:val="clear" w:color="auto" w:fill="auto"/>
            <w:noWrap/>
            <w:vAlign w:val="center"/>
            <w:hideMark/>
          </w:tcPr>
          <w:p w14:paraId="2078D17C"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 </w:t>
            </w:r>
          </w:p>
        </w:tc>
        <w:tc>
          <w:tcPr>
            <w:tcW w:w="309" w:type="pct"/>
            <w:tcBorders>
              <w:top w:val="nil"/>
              <w:left w:val="nil"/>
              <w:bottom w:val="dotted" w:sz="4" w:space="0" w:color="auto"/>
              <w:right w:val="nil"/>
            </w:tcBorders>
            <w:shd w:val="clear" w:color="auto" w:fill="auto"/>
            <w:vAlign w:val="center"/>
            <w:hideMark/>
          </w:tcPr>
          <w:p w14:paraId="56095331" w14:textId="77777777" w:rsidR="00AD66A6" w:rsidRPr="00793836" w:rsidRDefault="00AD66A6" w:rsidP="0038698C">
            <w:pPr>
              <w:jc w:val="right"/>
              <w:rPr>
                <w:rFonts w:eastAsia="Times New Roman" w:cs="Arial"/>
                <w:b/>
                <w:bCs/>
                <w:color w:val="000000"/>
                <w:sz w:val="12"/>
                <w:szCs w:val="12"/>
              </w:rPr>
            </w:pPr>
            <w:r>
              <w:rPr>
                <w:rFonts w:eastAsia="Times New Roman" w:cs="Arial"/>
                <w:b/>
                <w:bCs/>
                <w:color w:val="000000"/>
                <w:sz w:val="12"/>
                <w:szCs w:val="12"/>
              </w:rPr>
              <w:t>2.441.</w:t>
            </w:r>
            <w:r w:rsidRPr="00793836">
              <w:rPr>
                <w:rFonts w:eastAsia="Times New Roman" w:cs="Arial"/>
                <w:b/>
                <w:bCs/>
                <w:color w:val="000000"/>
                <w:sz w:val="12"/>
                <w:szCs w:val="12"/>
              </w:rPr>
              <w:t>823</w:t>
            </w:r>
          </w:p>
        </w:tc>
        <w:tc>
          <w:tcPr>
            <w:tcW w:w="388" w:type="pct"/>
            <w:tcBorders>
              <w:top w:val="nil"/>
              <w:left w:val="single" w:sz="8" w:space="0" w:color="auto"/>
              <w:bottom w:val="dotted" w:sz="4" w:space="0" w:color="auto"/>
              <w:right w:val="dotted" w:sz="4" w:space="0" w:color="auto"/>
            </w:tcBorders>
            <w:shd w:val="clear" w:color="auto" w:fill="auto"/>
            <w:noWrap/>
            <w:vAlign w:val="center"/>
            <w:hideMark/>
          </w:tcPr>
          <w:p w14:paraId="3EC97424"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9" w:type="pct"/>
            <w:tcBorders>
              <w:top w:val="nil"/>
              <w:left w:val="nil"/>
              <w:bottom w:val="dotted" w:sz="4" w:space="0" w:color="auto"/>
              <w:right w:val="dotted" w:sz="4" w:space="0" w:color="auto"/>
            </w:tcBorders>
            <w:shd w:val="clear" w:color="auto" w:fill="auto"/>
            <w:noWrap/>
            <w:vAlign w:val="bottom"/>
            <w:hideMark/>
          </w:tcPr>
          <w:p w14:paraId="51794DC9"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bottom"/>
            <w:hideMark/>
          </w:tcPr>
          <w:p w14:paraId="35AA0784"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174" w:type="pct"/>
            <w:tcBorders>
              <w:top w:val="nil"/>
              <w:left w:val="nil"/>
              <w:bottom w:val="dotted" w:sz="4" w:space="0" w:color="auto"/>
              <w:right w:val="double" w:sz="6" w:space="0" w:color="auto"/>
            </w:tcBorders>
            <w:shd w:val="clear" w:color="auto" w:fill="auto"/>
            <w:noWrap/>
            <w:vAlign w:val="bottom"/>
            <w:hideMark/>
          </w:tcPr>
          <w:p w14:paraId="56EF1138"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81" w:type="pct"/>
            <w:tcBorders>
              <w:top w:val="nil"/>
              <w:left w:val="nil"/>
              <w:bottom w:val="nil"/>
              <w:right w:val="nil"/>
            </w:tcBorders>
            <w:shd w:val="clear" w:color="auto" w:fill="auto"/>
            <w:noWrap/>
            <w:vAlign w:val="bottom"/>
            <w:hideMark/>
          </w:tcPr>
          <w:p w14:paraId="2C746903"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tted" w:sz="4" w:space="0" w:color="auto"/>
              <w:right w:val="dotted" w:sz="4" w:space="0" w:color="auto"/>
            </w:tcBorders>
            <w:shd w:val="clear" w:color="auto" w:fill="auto"/>
            <w:noWrap/>
            <w:vAlign w:val="center"/>
            <w:hideMark/>
          </w:tcPr>
          <w:p w14:paraId="08ED5F80"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tted" w:sz="4" w:space="0" w:color="auto"/>
              <w:right w:val="dotted" w:sz="4" w:space="0" w:color="auto"/>
            </w:tcBorders>
            <w:shd w:val="clear" w:color="auto" w:fill="auto"/>
            <w:noWrap/>
            <w:vAlign w:val="center"/>
            <w:hideMark/>
          </w:tcPr>
          <w:p w14:paraId="157568F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6" w:type="pct"/>
            <w:tcBorders>
              <w:top w:val="nil"/>
              <w:left w:val="nil"/>
              <w:bottom w:val="dotted" w:sz="4" w:space="0" w:color="auto"/>
              <w:right w:val="double" w:sz="6" w:space="0" w:color="auto"/>
            </w:tcBorders>
            <w:shd w:val="clear" w:color="auto" w:fill="auto"/>
            <w:noWrap/>
            <w:vAlign w:val="center"/>
            <w:hideMark/>
          </w:tcPr>
          <w:p w14:paraId="5447F5A3"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r>
      <w:tr w:rsidR="00AD66A6" w:rsidRPr="00793836" w14:paraId="4FD14196" w14:textId="77777777" w:rsidTr="00AD66A6">
        <w:trPr>
          <w:trHeight w:val="280"/>
        </w:trPr>
        <w:tc>
          <w:tcPr>
            <w:tcW w:w="1182" w:type="pct"/>
            <w:tcBorders>
              <w:top w:val="nil"/>
              <w:left w:val="double" w:sz="6" w:space="0" w:color="auto"/>
              <w:bottom w:val="double" w:sz="6" w:space="0" w:color="auto"/>
              <w:right w:val="dotted" w:sz="4" w:space="0" w:color="auto"/>
            </w:tcBorders>
            <w:shd w:val="clear" w:color="auto" w:fill="auto"/>
            <w:vAlign w:val="center"/>
            <w:hideMark/>
          </w:tcPr>
          <w:p w14:paraId="19361F3B" w14:textId="77777777" w:rsidR="00AD66A6" w:rsidRPr="00125B76" w:rsidRDefault="00AD66A6" w:rsidP="0038698C">
            <w:pPr>
              <w:rPr>
                <w:rFonts w:eastAsia="Times New Roman" w:cs="Arial"/>
                <w:b/>
                <w:bCs/>
                <w:color w:val="000000"/>
                <w:sz w:val="12"/>
                <w:szCs w:val="12"/>
                <w:lang w:val="es-ES_tradnl"/>
              </w:rPr>
            </w:pPr>
            <w:r w:rsidRPr="00125B76">
              <w:rPr>
                <w:rFonts w:eastAsia="Times New Roman" w:cs="Arial"/>
                <w:b/>
                <w:bCs/>
                <w:color w:val="000000"/>
                <w:sz w:val="12"/>
                <w:szCs w:val="12"/>
                <w:lang w:val="es-ES_tradnl"/>
              </w:rPr>
              <w:t xml:space="preserve">Fuentes (usos) netos de fondos de subvención </w:t>
            </w:r>
          </w:p>
        </w:tc>
        <w:tc>
          <w:tcPr>
            <w:tcW w:w="376" w:type="pct"/>
            <w:tcBorders>
              <w:top w:val="nil"/>
              <w:left w:val="nil"/>
              <w:bottom w:val="double" w:sz="6" w:space="0" w:color="auto"/>
              <w:right w:val="dotted" w:sz="4" w:space="0" w:color="auto"/>
            </w:tcBorders>
            <w:shd w:val="clear" w:color="auto" w:fill="auto"/>
            <w:vAlign w:val="center"/>
            <w:hideMark/>
          </w:tcPr>
          <w:p w14:paraId="4C58EB5B"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w:t>
            </w:r>
          </w:p>
        </w:tc>
        <w:tc>
          <w:tcPr>
            <w:tcW w:w="329" w:type="pct"/>
            <w:tcBorders>
              <w:top w:val="nil"/>
              <w:left w:val="nil"/>
              <w:bottom w:val="double" w:sz="6" w:space="0" w:color="auto"/>
              <w:right w:val="dotted" w:sz="4" w:space="0" w:color="auto"/>
            </w:tcBorders>
            <w:shd w:val="clear" w:color="auto" w:fill="auto"/>
            <w:vAlign w:val="center"/>
            <w:hideMark/>
          </w:tcPr>
          <w:p w14:paraId="0A49E27F" w14:textId="77777777" w:rsidR="00AD66A6" w:rsidRPr="00793836" w:rsidRDefault="00AD66A6" w:rsidP="0038698C">
            <w:pPr>
              <w:jc w:val="right"/>
              <w:rPr>
                <w:rFonts w:eastAsia="Times New Roman" w:cs="Arial"/>
                <w:b/>
                <w:bCs/>
                <w:color w:val="000000"/>
                <w:sz w:val="12"/>
                <w:szCs w:val="12"/>
                <w:u w:val="single"/>
              </w:rPr>
            </w:pPr>
            <w:r>
              <w:rPr>
                <w:rFonts w:eastAsia="Times New Roman" w:cs="Arial"/>
                <w:b/>
                <w:bCs/>
                <w:color w:val="000000"/>
                <w:sz w:val="12"/>
                <w:szCs w:val="12"/>
                <w:u w:val="single"/>
              </w:rPr>
              <w:t>5.466.</w:t>
            </w:r>
            <w:r w:rsidRPr="00793836">
              <w:rPr>
                <w:rFonts w:eastAsia="Times New Roman" w:cs="Arial"/>
                <w:b/>
                <w:bCs/>
                <w:color w:val="000000"/>
                <w:sz w:val="12"/>
                <w:szCs w:val="12"/>
                <w:u w:val="single"/>
              </w:rPr>
              <w:t>093</w:t>
            </w:r>
          </w:p>
        </w:tc>
        <w:tc>
          <w:tcPr>
            <w:tcW w:w="337" w:type="pct"/>
            <w:tcBorders>
              <w:top w:val="nil"/>
              <w:left w:val="nil"/>
              <w:bottom w:val="double" w:sz="6" w:space="0" w:color="auto"/>
              <w:right w:val="dotted" w:sz="4" w:space="0" w:color="auto"/>
            </w:tcBorders>
            <w:shd w:val="clear" w:color="auto" w:fill="auto"/>
            <w:noWrap/>
            <w:vAlign w:val="center"/>
            <w:hideMark/>
          </w:tcPr>
          <w:p w14:paraId="4F82CCD8"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 </w:t>
            </w:r>
          </w:p>
        </w:tc>
        <w:tc>
          <w:tcPr>
            <w:tcW w:w="309" w:type="pct"/>
            <w:tcBorders>
              <w:top w:val="nil"/>
              <w:left w:val="nil"/>
              <w:bottom w:val="double" w:sz="6" w:space="0" w:color="auto"/>
              <w:right w:val="nil"/>
            </w:tcBorders>
            <w:shd w:val="clear" w:color="auto" w:fill="auto"/>
            <w:vAlign w:val="center"/>
            <w:hideMark/>
          </w:tcPr>
          <w:p w14:paraId="67F968D6" w14:textId="77777777" w:rsidR="00AD66A6" w:rsidRPr="00793836" w:rsidRDefault="00AD66A6" w:rsidP="0038698C">
            <w:pPr>
              <w:jc w:val="right"/>
              <w:rPr>
                <w:rFonts w:eastAsia="Times New Roman" w:cs="Arial"/>
                <w:b/>
                <w:bCs/>
                <w:color w:val="000000"/>
                <w:sz w:val="12"/>
                <w:szCs w:val="12"/>
              </w:rPr>
            </w:pPr>
            <w:r w:rsidRPr="00793836">
              <w:rPr>
                <w:rFonts w:eastAsia="Times New Roman" w:cs="Arial"/>
                <w:b/>
                <w:bCs/>
                <w:color w:val="000000"/>
                <w:sz w:val="12"/>
                <w:szCs w:val="12"/>
              </w:rPr>
              <w:t> </w:t>
            </w:r>
          </w:p>
        </w:tc>
        <w:tc>
          <w:tcPr>
            <w:tcW w:w="388" w:type="pct"/>
            <w:tcBorders>
              <w:top w:val="nil"/>
              <w:left w:val="single" w:sz="8" w:space="0" w:color="auto"/>
              <w:bottom w:val="double" w:sz="6" w:space="0" w:color="auto"/>
              <w:right w:val="dotted" w:sz="4" w:space="0" w:color="auto"/>
            </w:tcBorders>
            <w:shd w:val="clear" w:color="auto" w:fill="auto"/>
            <w:noWrap/>
            <w:vAlign w:val="center"/>
            <w:hideMark/>
          </w:tcPr>
          <w:p w14:paraId="6637C8EF"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69" w:type="pct"/>
            <w:tcBorders>
              <w:top w:val="nil"/>
              <w:left w:val="nil"/>
              <w:bottom w:val="double" w:sz="6" w:space="0" w:color="auto"/>
              <w:right w:val="dotted" w:sz="4" w:space="0" w:color="auto"/>
            </w:tcBorders>
            <w:shd w:val="clear" w:color="auto" w:fill="auto"/>
            <w:vAlign w:val="center"/>
            <w:hideMark/>
          </w:tcPr>
          <w:p w14:paraId="052467F2" w14:textId="77777777" w:rsidR="00AD66A6" w:rsidRPr="00793836" w:rsidRDefault="00AD66A6" w:rsidP="0038698C">
            <w:pPr>
              <w:jc w:val="right"/>
              <w:rPr>
                <w:rFonts w:eastAsia="Times New Roman" w:cs="Arial"/>
                <w:b/>
                <w:bCs/>
                <w:color w:val="000000"/>
                <w:sz w:val="12"/>
                <w:szCs w:val="12"/>
                <w:u w:val="single"/>
              </w:rPr>
            </w:pPr>
            <w:r>
              <w:rPr>
                <w:rFonts w:eastAsia="Times New Roman" w:cs="Arial"/>
                <w:b/>
                <w:bCs/>
                <w:color w:val="000000"/>
                <w:sz w:val="12"/>
                <w:szCs w:val="12"/>
                <w:u w:val="single"/>
              </w:rPr>
              <w:t>5.466.</w:t>
            </w:r>
            <w:r w:rsidRPr="00793836">
              <w:rPr>
                <w:rFonts w:eastAsia="Times New Roman" w:cs="Arial"/>
                <w:b/>
                <w:bCs/>
                <w:color w:val="000000"/>
                <w:sz w:val="12"/>
                <w:szCs w:val="12"/>
                <w:u w:val="single"/>
              </w:rPr>
              <w:t>093</w:t>
            </w:r>
          </w:p>
        </w:tc>
        <w:tc>
          <w:tcPr>
            <w:tcW w:w="359" w:type="pct"/>
            <w:tcBorders>
              <w:top w:val="nil"/>
              <w:left w:val="nil"/>
              <w:bottom w:val="double" w:sz="6" w:space="0" w:color="auto"/>
              <w:right w:val="dotted" w:sz="4" w:space="0" w:color="auto"/>
            </w:tcBorders>
            <w:shd w:val="clear" w:color="auto" w:fill="auto"/>
            <w:noWrap/>
            <w:vAlign w:val="bottom"/>
            <w:hideMark/>
          </w:tcPr>
          <w:p w14:paraId="60B470B3"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 </w:t>
            </w:r>
          </w:p>
        </w:tc>
        <w:tc>
          <w:tcPr>
            <w:tcW w:w="174" w:type="pct"/>
            <w:tcBorders>
              <w:top w:val="nil"/>
              <w:left w:val="nil"/>
              <w:bottom w:val="double" w:sz="6" w:space="0" w:color="auto"/>
              <w:right w:val="double" w:sz="6" w:space="0" w:color="auto"/>
            </w:tcBorders>
            <w:shd w:val="clear" w:color="auto" w:fill="auto"/>
            <w:noWrap/>
            <w:vAlign w:val="bottom"/>
            <w:hideMark/>
          </w:tcPr>
          <w:p w14:paraId="05546F4D" w14:textId="77777777" w:rsidR="00AD66A6" w:rsidRPr="00793836" w:rsidRDefault="00AD66A6" w:rsidP="0038698C">
            <w:pPr>
              <w:rPr>
                <w:rFonts w:eastAsia="Times New Roman" w:cs="Arial"/>
                <w:color w:val="000000"/>
                <w:sz w:val="12"/>
                <w:szCs w:val="12"/>
              </w:rPr>
            </w:pPr>
            <w:r w:rsidRPr="00793836">
              <w:rPr>
                <w:rFonts w:eastAsia="Times New Roman" w:cs="Arial"/>
                <w:color w:val="000000"/>
                <w:sz w:val="12"/>
                <w:szCs w:val="12"/>
              </w:rPr>
              <w:t>xxx</w:t>
            </w:r>
          </w:p>
        </w:tc>
        <w:tc>
          <w:tcPr>
            <w:tcW w:w="81" w:type="pct"/>
            <w:tcBorders>
              <w:top w:val="nil"/>
              <w:left w:val="nil"/>
              <w:bottom w:val="nil"/>
              <w:right w:val="nil"/>
            </w:tcBorders>
            <w:shd w:val="clear" w:color="auto" w:fill="auto"/>
            <w:noWrap/>
            <w:vAlign w:val="bottom"/>
            <w:hideMark/>
          </w:tcPr>
          <w:p w14:paraId="133EA282" w14:textId="77777777" w:rsidR="00AD66A6" w:rsidRPr="00793836" w:rsidRDefault="00AD66A6" w:rsidP="0038698C">
            <w:pPr>
              <w:rPr>
                <w:rFonts w:eastAsia="Times New Roman" w:cs="Arial"/>
                <w:color w:val="000000"/>
                <w:sz w:val="12"/>
                <w:szCs w:val="12"/>
              </w:rPr>
            </w:pPr>
          </w:p>
        </w:tc>
        <w:tc>
          <w:tcPr>
            <w:tcW w:w="369" w:type="pct"/>
            <w:tcBorders>
              <w:top w:val="nil"/>
              <w:left w:val="double" w:sz="6" w:space="0" w:color="auto"/>
              <w:bottom w:val="double" w:sz="6" w:space="0" w:color="auto"/>
              <w:right w:val="dotted" w:sz="4" w:space="0" w:color="auto"/>
            </w:tcBorders>
            <w:shd w:val="clear" w:color="auto" w:fill="auto"/>
            <w:noWrap/>
            <w:vAlign w:val="center"/>
            <w:hideMark/>
          </w:tcPr>
          <w:p w14:paraId="64ED1E48"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c>
          <w:tcPr>
            <w:tcW w:w="359" w:type="pct"/>
            <w:tcBorders>
              <w:top w:val="nil"/>
              <w:left w:val="nil"/>
              <w:bottom w:val="double" w:sz="6" w:space="0" w:color="auto"/>
              <w:right w:val="dotted" w:sz="4" w:space="0" w:color="auto"/>
            </w:tcBorders>
            <w:shd w:val="clear" w:color="auto" w:fill="auto"/>
            <w:noWrap/>
            <w:vAlign w:val="center"/>
            <w:hideMark/>
          </w:tcPr>
          <w:p w14:paraId="77AF8DD0" w14:textId="77777777" w:rsidR="00AD66A6" w:rsidRPr="00793836" w:rsidRDefault="00AD66A6" w:rsidP="0038698C">
            <w:pPr>
              <w:jc w:val="right"/>
              <w:rPr>
                <w:rFonts w:eastAsia="Times New Roman" w:cs="Arial"/>
                <w:b/>
                <w:bCs/>
                <w:color w:val="000000"/>
                <w:sz w:val="12"/>
                <w:szCs w:val="12"/>
                <w:u w:val="single"/>
              </w:rPr>
            </w:pPr>
            <w:r>
              <w:rPr>
                <w:rFonts w:eastAsia="Times New Roman" w:cs="Arial"/>
                <w:b/>
                <w:bCs/>
                <w:color w:val="000000"/>
                <w:sz w:val="12"/>
                <w:szCs w:val="12"/>
                <w:u w:val="single"/>
              </w:rPr>
              <w:t xml:space="preserve">          1.382.</w:t>
            </w:r>
            <w:r w:rsidRPr="00793836">
              <w:rPr>
                <w:rFonts w:eastAsia="Times New Roman" w:cs="Arial"/>
                <w:b/>
                <w:bCs/>
                <w:color w:val="000000"/>
                <w:sz w:val="12"/>
                <w:szCs w:val="12"/>
                <w:u w:val="single"/>
              </w:rPr>
              <w:t xml:space="preserve">089 </w:t>
            </w:r>
          </w:p>
        </w:tc>
        <w:tc>
          <w:tcPr>
            <w:tcW w:w="366" w:type="pct"/>
            <w:tcBorders>
              <w:top w:val="nil"/>
              <w:left w:val="nil"/>
              <w:bottom w:val="double" w:sz="6" w:space="0" w:color="auto"/>
              <w:right w:val="double" w:sz="6" w:space="0" w:color="auto"/>
            </w:tcBorders>
            <w:shd w:val="clear" w:color="auto" w:fill="auto"/>
            <w:noWrap/>
            <w:vAlign w:val="center"/>
            <w:hideMark/>
          </w:tcPr>
          <w:p w14:paraId="24E066B7" w14:textId="77777777" w:rsidR="00AD66A6" w:rsidRPr="00793836" w:rsidRDefault="00AD66A6" w:rsidP="0038698C">
            <w:pPr>
              <w:jc w:val="right"/>
              <w:rPr>
                <w:rFonts w:eastAsia="Times New Roman" w:cs="Arial"/>
                <w:color w:val="000000"/>
                <w:sz w:val="12"/>
                <w:szCs w:val="12"/>
              </w:rPr>
            </w:pPr>
            <w:r w:rsidRPr="00793836">
              <w:rPr>
                <w:rFonts w:eastAsia="Times New Roman" w:cs="Arial"/>
                <w:color w:val="000000"/>
                <w:sz w:val="12"/>
                <w:szCs w:val="12"/>
              </w:rPr>
              <w:t> </w:t>
            </w:r>
          </w:p>
        </w:tc>
      </w:tr>
    </w:tbl>
    <w:p w14:paraId="62A8DF48" w14:textId="77777777" w:rsidR="009D5C43" w:rsidRDefault="009D5C43">
      <w:pPr>
        <w:rPr>
          <w:rFonts w:ascii="Times New Roman" w:hAnsi="Times New Roman" w:cs="Times New Roman"/>
          <w:sz w:val="22"/>
          <w:szCs w:val="22"/>
        </w:rPr>
      </w:pPr>
    </w:p>
    <w:p w14:paraId="1CF7D19E" w14:textId="0C2C64E4" w:rsidR="0038698C" w:rsidRDefault="0038698C" w:rsidP="0038698C">
      <w:pPr>
        <w:spacing w:after="120"/>
        <w:jc w:val="both"/>
        <w:rPr>
          <w:rFonts w:eastAsia="Calibri" w:cs="Arial"/>
          <w:b/>
          <w:lang w:val="es-ES_tradnl"/>
        </w:rPr>
        <w:sectPr w:rsidR="0038698C" w:rsidSect="0038698C">
          <w:pgSz w:w="15840" w:h="12240" w:orient="landscape"/>
          <w:pgMar w:top="567" w:right="1134" w:bottom="907" w:left="1134" w:header="0" w:footer="0" w:gutter="0"/>
          <w:cols w:space="720"/>
          <w:formProt w:val="0"/>
          <w:docGrid w:linePitch="326"/>
        </w:sectPr>
      </w:pPr>
    </w:p>
    <w:p w14:paraId="6D03BC6E" w14:textId="345ED96E" w:rsidR="0038698C" w:rsidRPr="003561E8" w:rsidRDefault="0038698C" w:rsidP="00914CD9">
      <w:pPr>
        <w:spacing w:after="120"/>
        <w:jc w:val="both"/>
        <w:rPr>
          <w:rFonts w:eastAsia="Calibri" w:cs="Arial"/>
          <w:b/>
          <w:lang w:val="es-ES_tradnl"/>
        </w:rPr>
      </w:pPr>
      <w:r>
        <w:rPr>
          <w:rFonts w:eastAsia="Calibri" w:cs="Arial"/>
          <w:b/>
          <w:lang w:val="es-ES_tradnl"/>
        </w:rPr>
        <w:lastRenderedPageBreak/>
        <w:t xml:space="preserve">Notas </w:t>
      </w:r>
      <w:r w:rsidRPr="003561E8">
        <w:rPr>
          <w:rFonts w:eastAsia="Calibri" w:cs="Arial"/>
          <w:b/>
          <w:lang w:val="es-ES_tradnl"/>
        </w:rPr>
        <w:t xml:space="preserve">de los estados financieros </w:t>
      </w:r>
    </w:p>
    <w:p w14:paraId="4360C9BD" w14:textId="77777777" w:rsidR="0038698C" w:rsidRPr="003561E8" w:rsidRDefault="0038698C" w:rsidP="00914CD9">
      <w:pPr>
        <w:jc w:val="both"/>
        <w:rPr>
          <w:rFonts w:eastAsia="Calibri" w:cs="Arial"/>
          <w:lang w:val="es-ES_tradnl"/>
        </w:rPr>
      </w:pPr>
      <w:r w:rsidRPr="003561E8">
        <w:rPr>
          <w:rFonts w:eastAsia="Calibri" w:cs="Arial"/>
          <w:lang w:val="es-ES_tradnl"/>
        </w:rPr>
        <w:t>Todos los montos están en</w:t>
      </w:r>
      <w:r>
        <w:rPr>
          <w:rFonts w:eastAsia="Calibri" w:cs="Arial"/>
          <w:lang w:val="es-ES_tradnl"/>
        </w:rPr>
        <w:t xml:space="preserve"> reflejados en</w:t>
      </w:r>
      <w:r w:rsidRPr="003561E8">
        <w:rPr>
          <w:rFonts w:eastAsia="Calibri" w:cs="Arial"/>
          <w:lang w:val="es-ES_tradnl"/>
        </w:rPr>
        <w:t xml:space="preserve"> US$ a menos que se especifique de otra manera</w:t>
      </w:r>
      <w:r>
        <w:rPr>
          <w:rFonts w:eastAsia="Calibri" w:cs="Arial"/>
          <w:lang w:val="es-ES_tradnl"/>
        </w:rPr>
        <w:t>.</w:t>
      </w:r>
      <w:r w:rsidRPr="003561E8">
        <w:rPr>
          <w:rFonts w:eastAsia="Calibri" w:cs="Arial"/>
          <w:lang w:val="es-ES_tradnl"/>
        </w:rPr>
        <w:t xml:space="preserve"> </w:t>
      </w:r>
    </w:p>
    <w:p w14:paraId="73282236" w14:textId="77777777" w:rsidR="0038698C" w:rsidRPr="00325F25" w:rsidRDefault="0038698C" w:rsidP="00914CD9">
      <w:pPr>
        <w:spacing w:after="120"/>
        <w:jc w:val="both"/>
        <w:rPr>
          <w:rFonts w:eastAsia="Calibri" w:cs="Arial"/>
          <w:b/>
          <w:lang w:val="es-ES_tradnl"/>
        </w:rPr>
      </w:pPr>
    </w:p>
    <w:p w14:paraId="65B5678D" w14:textId="77777777" w:rsidR="0038698C" w:rsidRPr="00B335E8" w:rsidRDefault="0038698C" w:rsidP="00914CD9">
      <w:pPr>
        <w:spacing w:after="120"/>
        <w:jc w:val="both"/>
        <w:rPr>
          <w:rFonts w:eastAsia="Calibri" w:cs="Arial"/>
          <w:b/>
          <w:lang w:val="es-ES_tradnl"/>
        </w:rPr>
      </w:pPr>
      <w:r w:rsidRPr="00B335E8">
        <w:rPr>
          <w:rFonts w:eastAsia="Calibri" w:cs="Arial"/>
          <w:b/>
          <w:lang w:val="es-ES_tradnl"/>
        </w:rPr>
        <w:t xml:space="preserve">Nota 1: Base contable </w:t>
      </w:r>
    </w:p>
    <w:p w14:paraId="7B5288D3" w14:textId="77777777" w:rsidR="0038698C" w:rsidRPr="00B335E8" w:rsidRDefault="0038698C" w:rsidP="00914CD9">
      <w:pPr>
        <w:jc w:val="both"/>
        <w:rPr>
          <w:rFonts w:eastAsia="Calibri" w:cs="Arial"/>
          <w:lang w:val="es-ES_tradnl"/>
        </w:rPr>
      </w:pPr>
      <w:r w:rsidRPr="00B335E8">
        <w:rPr>
          <w:rFonts w:eastAsia="Calibri" w:cs="Arial"/>
          <w:lang w:val="es-ES_tradnl"/>
        </w:rPr>
        <w:t>El informe financiero anual se elabora conforme al criterio de ingresos y desembolsos en efectivo. Se ha añadido una columna de compromisos o cuentas a pagar pe</w:t>
      </w:r>
      <w:r>
        <w:rPr>
          <w:rFonts w:eastAsia="Calibri" w:cs="Arial"/>
          <w:lang w:val="es-ES_tradnl"/>
        </w:rPr>
        <w:t>n</w:t>
      </w:r>
      <w:r w:rsidRPr="00B335E8">
        <w:rPr>
          <w:rFonts w:eastAsia="Calibri" w:cs="Arial"/>
          <w:lang w:val="es-ES_tradnl"/>
        </w:rPr>
        <w:t>dientes según lo dispuesto por las directrices del informe financiero anual (AFR).</w:t>
      </w:r>
    </w:p>
    <w:p w14:paraId="2858097B" w14:textId="77777777" w:rsidR="0038698C" w:rsidRPr="00B335E8" w:rsidRDefault="0038698C" w:rsidP="00914CD9">
      <w:pPr>
        <w:jc w:val="both"/>
        <w:rPr>
          <w:rFonts w:eastAsia="Calibri" w:cs="Arial"/>
          <w:lang w:val="es-ES_tradnl"/>
        </w:rPr>
      </w:pPr>
    </w:p>
    <w:p w14:paraId="54706CDA" w14:textId="77777777" w:rsidR="0038698C" w:rsidRPr="00B335E8" w:rsidRDefault="0038698C" w:rsidP="00914CD9">
      <w:pPr>
        <w:spacing w:after="120"/>
        <w:jc w:val="both"/>
        <w:rPr>
          <w:rFonts w:eastAsia="Calibri" w:cs="Arial"/>
          <w:b/>
          <w:lang w:val="es-ES_tradnl"/>
        </w:rPr>
      </w:pPr>
      <w:r w:rsidRPr="00B335E8">
        <w:rPr>
          <w:rFonts w:eastAsia="Calibri" w:cs="Arial"/>
          <w:b/>
          <w:lang w:val="es-ES_tradnl"/>
        </w:rPr>
        <w:t>Nota 2: Desembolsos/ingresos</w:t>
      </w:r>
    </w:p>
    <w:p w14:paraId="780CD7BC" w14:textId="77777777" w:rsidR="0038698C" w:rsidRPr="00B335E8" w:rsidRDefault="0038698C" w:rsidP="00914CD9">
      <w:pPr>
        <w:jc w:val="both"/>
        <w:rPr>
          <w:rFonts w:eastAsia="Calibri" w:cs="Arial"/>
          <w:lang w:val="es-ES_tradnl"/>
        </w:rPr>
      </w:pPr>
      <w:r w:rsidRPr="00B335E8">
        <w:rPr>
          <w:rFonts w:eastAsia="Calibri" w:cs="Arial"/>
          <w:lang w:val="es-ES_tradnl"/>
        </w:rPr>
        <w:t xml:space="preserve">Los ingresos incluyen los montos anticipados y reembolsados por el Fondo Mundial en el marco del acuerdo de subvención durante el período </w:t>
      </w:r>
      <w:r w:rsidRPr="00B335E8">
        <w:rPr>
          <w:rFonts w:eastAsia="Calibri" w:cs="Arial"/>
          <w:i/>
          <w:lang w:val="es-ES_tradnl"/>
        </w:rPr>
        <w:t>[1 de enero de 2019 a 31 de diciembre de 2019]</w:t>
      </w:r>
      <w:r w:rsidRPr="00B335E8">
        <w:rPr>
          <w:rFonts w:eastAsia="Calibri" w:cs="Arial"/>
          <w:lang w:val="es-ES_tradnl"/>
        </w:rPr>
        <w:t xml:space="preserve"> al Receptor Principal y a terceras partes. Los ingresos recibidos del Fondo Mundial se efectuaron en dólares estadounidenses.</w:t>
      </w:r>
    </w:p>
    <w:p w14:paraId="1FBD40C2" w14:textId="77777777" w:rsidR="0038698C" w:rsidRPr="00325F25" w:rsidRDefault="0038698C" w:rsidP="00914CD9">
      <w:pPr>
        <w:jc w:val="both"/>
        <w:rPr>
          <w:rFonts w:eastAsia="Calibri" w:cs="Arial"/>
          <w:lang w:val="es-ES_tradnl"/>
        </w:rPr>
      </w:pPr>
    </w:p>
    <w:p w14:paraId="3A6A16E3" w14:textId="77777777" w:rsidR="0038698C" w:rsidRPr="00325F25" w:rsidRDefault="0038698C" w:rsidP="00914CD9">
      <w:pPr>
        <w:spacing w:after="120"/>
        <w:jc w:val="both"/>
        <w:rPr>
          <w:rFonts w:eastAsia="Calibri" w:cs="Arial"/>
          <w:b/>
          <w:lang w:val="es-ES_tradnl"/>
        </w:rPr>
      </w:pPr>
      <w:r w:rsidRPr="00325F25">
        <w:rPr>
          <w:rFonts w:eastAsia="Calibri" w:cs="Arial"/>
          <w:b/>
          <w:lang w:val="es-ES_tradnl"/>
        </w:rPr>
        <w:t xml:space="preserve">Nota 3: </w:t>
      </w:r>
    </w:p>
    <w:p w14:paraId="12FCD617" w14:textId="77777777" w:rsidR="0038698C" w:rsidRPr="006D6A1C" w:rsidRDefault="0038698C" w:rsidP="00914CD9">
      <w:pPr>
        <w:jc w:val="both"/>
        <w:rPr>
          <w:rFonts w:eastAsia="Calibri" w:cs="Arial"/>
          <w:lang w:val="es-ES_tradnl"/>
        </w:rPr>
      </w:pPr>
      <w:r w:rsidRPr="006D6A1C">
        <w:rPr>
          <w:rFonts w:eastAsia="Calibri" w:cs="Arial"/>
          <w:lang w:val="es-ES_tradnl"/>
        </w:rPr>
        <w:t xml:space="preserve">El gasto representa los montos desembolsados y los costos incurridos denominados en </w:t>
      </w:r>
      <w:r w:rsidRPr="00A111D9">
        <w:rPr>
          <w:rFonts w:eastAsia="Calibri" w:cs="Arial"/>
          <w:lang w:val="es-ES_tradnl"/>
        </w:rPr>
        <w:t>francos</w:t>
      </w:r>
      <w:r w:rsidRPr="006D6A1C">
        <w:rPr>
          <w:rFonts w:eastAsia="Calibri" w:cs="Arial"/>
          <w:i/>
          <w:lang w:val="es-ES_tradnl"/>
        </w:rPr>
        <w:t xml:space="preserve"> </w:t>
      </w:r>
      <w:r w:rsidRPr="00A111D9">
        <w:rPr>
          <w:rFonts w:eastAsia="Calibri" w:cs="Arial"/>
          <w:lang w:val="es-ES_tradnl"/>
        </w:rPr>
        <w:t>ficticios</w:t>
      </w:r>
      <w:r w:rsidRPr="006D6A1C">
        <w:rPr>
          <w:rFonts w:eastAsia="Calibri" w:cs="Arial"/>
          <w:i/>
          <w:lang w:val="es-ES_tradnl"/>
        </w:rPr>
        <w:t xml:space="preserve"> </w:t>
      </w:r>
      <w:r w:rsidRPr="00411CB8">
        <w:rPr>
          <w:rFonts w:eastAsia="Calibri" w:cs="Arial"/>
          <w:lang w:val="es-ES_tradnl"/>
        </w:rPr>
        <w:t>(</w:t>
      </w:r>
      <w:r w:rsidRPr="00A111D9">
        <w:rPr>
          <w:rFonts w:eastAsia="Calibri" w:cs="Arial"/>
          <w:lang w:val="es-ES_tradnl"/>
        </w:rPr>
        <w:t>FHF)</w:t>
      </w:r>
      <w:r w:rsidRPr="006D6A1C">
        <w:rPr>
          <w:rFonts w:eastAsia="Calibri" w:cs="Arial"/>
          <w:i/>
          <w:lang w:val="es-ES_tradnl"/>
        </w:rPr>
        <w:t>.</w:t>
      </w:r>
    </w:p>
    <w:p w14:paraId="08ADD8BF" w14:textId="77777777" w:rsidR="0038698C" w:rsidRPr="00325F25" w:rsidRDefault="0038698C" w:rsidP="00914CD9">
      <w:pPr>
        <w:jc w:val="both"/>
        <w:rPr>
          <w:rFonts w:eastAsia="Calibri" w:cs="Arial"/>
          <w:lang w:val="es-ES_tradnl"/>
        </w:rPr>
      </w:pPr>
    </w:p>
    <w:p w14:paraId="1060C732" w14:textId="77777777" w:rsidR="0038698C" w:rsidRPr="00325F25" w:rsidRDefault="0038698C" w:rsidP="00914CD9">
      <w:pPr>
        <w:spacing w:after="120"/>
        <w:jc w:val="both"/>
        <w:rPr>
          <w:rFonts w:eastAsia="Calibri" w:cs="Arial"/>
          <w:b/>
          <w:lang w:val="es-ES_tradnl"/>
        </w:rPr>
      </w:pPr>
      <w:r w:rsidRPr="00325F25">
        <w:rPr>
          <w:rFonts w:eastAsia="Calibri" w:cs="Arial"/>
          <w:b/>
          <w:lang w:val="es-ES_tradnl"/>
        </w:rPr>
        <w:t xml:space="preserve">Nota 4: </w:t>
      </w:r>
    </w:p>
    <w:p w14:paraId="6BC6784B" w14:textId="77777777" w:rsidR="0038698C" w:rsidRPr="00325F25" w:rsidRDefault="0038698C" w:rsidP="00914CD9">
      <w:pPr>
        <w:jc w:val="both"/>
        <w:rPr>
          <w:rFonts w:eastAsia="Calibri" w:cs="Arial"/>
          <w:lang w:val="es-ES_tradnl"/>
        </w:rPr>
      </w:pPr>
      <w:r>
        <w:rPr>
          <w:rFonts w:eastAsia="Calibri" w:cs="Arial"/>
          <w:lang w:val="es-ES_tradnl"/>
        </w:rPr>
        <w:t xml:space="preserve">Las </w:t>
      </w:r>
      <w:r w:rsidRPr="006D6A1C">
        <w:rPr>
          <w:rFonts w:eastAsia="Calibri" w:cs="Arial"/>
          <w:lang w:val="es-ES_tradnl"/>
        </w:rPr>
        <w:t xml:space="preserve">transacciones realizadas en francos ficticios se traducen a dólares estadounidenses </w:t>
      </w:r>
      <w:r>
        <w:rPr>
          <w:rFonts w:eastAsia="Calibri" w:cs="Arial"/>
          <w:lang w:val="es-ES_tradnl"/>
        </w:rPr>
        <w:t>según el tipo de cambio a</w:t>
      </w:r>
      <w:r w:rsidRPr="006D6A1C">
        <w:rPr>
          <w:rFonts w:eastAsia="Calibri" w:cs="Arial"/>
          <w:lang w:val="es-ES_tradnl"/>
        </w:rPr>
        <w:t>plicable en el momento en que los fondos recibidos del Fondo Mundial se convirtieron a la moneda local. A efectos de este informe, los saldos denominados en francos ficticios se han traducido a dólares estadounidenses b</w:t>
      </w:r>
      <w:r>
        <w:rPr>
          <w:rFonts w:eastAsia="Calibri" w:cs="Arial"/>
          <w:lang w:val="es-ES_tradnl"/>
        </w:rPr>
        <w:t xml:space="preserve">asado en </w:t>
      </w:r>
      <w:r w:rsidRPr="006D6A1C">
        <w:rPr>
          <w:rFonts w:eastAsia="Calibri" w:cs="Arial"/>
          <w:lang w:val="es-ES_tradnl"/>
        </w:rPr>
        <w:t xml:space="preserve">el tipo de cambio medio aplicado por el Ministerio de Salud durante el período que </w:t>
      </w:r>
      <w:r>
        <w:rPr>
          <w:rFonts w:eastAsia="Calibri" w:cs="Arial"/>
          <w:lang w:val="es-ES_tradnl"/>
        </w:rPr>
        <w:t>se situaba en</w:t>
      </w:r>
      <w:r w:rsidRPr="006D6A1C">
        <w:rPr>
          <w:rFonts w:eastAsia="Calibri" w:cs="Arial"/>
          <w:lang w:val="es-ES_tradnl"/>
        </w:rPr>
        <w:t xml:space="preserve"> FHF xxxx </w:t>
      </w:r>
      <w:r>
        <w:rPr>
          <w:rFonts w:eastAsia="Calibri" w:cs="Arial"/>
          <w:lang w:val="es-ES_tradnl"/>
        </w:rPr>
        <w:t>con respecto al</w:t>
      </w:r>
      <w:r w:rsidRPr="006D6A1C">
        <w:rPr>
          <w:rFonts w:eastAsia="Calibri" w:cs="Arial"/>
          <w:lang w:val="es-ES_tradnl"/>
        </w:rPr>
        <w:t xml:space="preserve"> </w:t>
      </w:r>
      <w:r>
        <w:rPr>
          <w:rFonts w:eastAsia="Calibri" w:cs="Arial"/>
          <w:lang w:val="es-ES_tradnl"/>
        </w:rPr>
        <w:t>dólar estadounidense</w:t>
      </w:r>
      <w:r w:rsidRPr="006D6A1C">
        <w:rPr>
          <w:rFonts w:eastAsia="Calibri" w:cs="Arial"/>
          <w:lang w:val="es-ES_tradnl"/>
        </w:rPr>
        <w:t>.</w:t>
      </w:r>
    </w:p>
    <w:p w14:paraId="0ACF7702" w14:textId="77777777" w:rsidR="0038698C" w:rsidRDefault="0038698C" w:rsidP="00914CD9">
      <w:pPr>
        <w:spacing w:after="120"/>
        <w:jc w:val="both"/>
        <w:rPr>
          <w:rFonts w:eastAsia="Calibri" w:cs="Arial"/>
          <w:b/>
          <w:lang w:val="es-ES_tradnl"/>
        </w:rPr>
      </w:pPr>
    </w:p>
    <w:p w14:paraId="35197FFB" w14:textId="2F6D2FCC" w:rsidR="0038698C" w:rsidRPr="007054ED" w:rsidRDefault="0038698C" w:rsidP="00914CD9">
      <w:pPr>
        <w:spacing w:after="120"/>
        <w:jc w:val="both"/>
        <w:rPr>
          <w:rFonts w:eastAsia="Calibri" w:cs="Arial"/>
          <w:b/>
          <w:lang w:val="es-ES_tradnl"/>
        </w:rPr>
      </w:pPr>
      <w:r w:rsidRPr="007054ED">
        <w:rPr>
          <w:rFonts w:eastAsia="Calibri" w:cs="Arial"/>
          <w:b/>
          <w:lang w:val="es-ES_tradnl"/>
        </w:rPr>
        <w:t xml:space="preserve">Nota 5: Ingresos recibidos del Fondo Mundial </w:t>
      </w:r>
    </w:p>
    <w:p w14:paraId="2E4F9F0B" w14:textId="77777777" w:rsidR="0038698C" w:rsidRPr="00325F25" w:rsidRDefault="0038698C" w:rsidP="00914CD9">
      <w:pPr>
        <w:spacing w:after="120"/>
        <w:jc w:val="both"/>
        <w:rPr>
          <w:rFonts w:eastAsia="Calibri" w:cs="Arial"/>
          <w:b/>
          <w:lang w:val="es-ES_trad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858"/>
        <w:gridCol w:w="1733"/>
        <w:gridCol w:w="2339"/>
      </w:tblGrid>
      <w:tr w:rsidR="0038698C" w:rsidRPr="002D4144" w14:paraId="5B01774A" w14:textId="77777777" w:rsidTr="0038698C">
        <w:trPr>
          <w:trHeight w:val="300"/>
        </w:trPr>
        <w:tc>
          <w:tcPr>
            <w:tcW w:w="2430" w:type="dxa"/>
            <w:vMerge w:val="restart"/>
            <w:hideMark/>
          </w:tcPr>
          <w:p w14:paraId="3F954130" w14:textId="77777777" w:rsidR="0038698C" w:rsidRPr="002D4144" w:rsidRDefault="0038698C" w:rsidP="00914CD9">
            <w:pPr>
              <w:spacing w:after="120" w:line="240" w:lineRule="atLeast"/>
              <w:jc w:val="both"/>
              <w:rPr>
                <w:rFonts w:eastAsia="Calibri" w:cs="Arial"/>
                <w:b/>
                <w:bCs/>
              </w:rPr>
            </w:pPr>
            <w:r w:rsidRPr="006372B8">
              <w:rPr>
                <w:rFonts w:eastAsia="Calibri" w:cs="Arial"/>
                <w:b/>
                <w:bCs/>
                <w:lang w:val="es-ES_tradnl"/>
              </w:rPr>
              <w:t>Descripción</w:t>
            </w:r>
          </w:p>
        </w:tc>
        <w:tc>
          <w:tcPr>
            <w:tcW w:w="2858" w:type="dxa"/>
            <w:vMerge w:val="restart"/>
            <w:hideMark/>
          </w:tcPr>
          <w:p w14:paraId="5BF2A042" w14:textId="77777777" w:rsidR="0038698C" w:rsidRPr="002D4144" w:rsidRDefault="0038698C" w:rsidP="00914CD9">
            <w:pPr>
              <w:spacing w:after="120" w:line="240" w:lineRule="atLeast"/>
              <w:jc w:val="both"/>
              <w:rPr>
                <w:rFonts w:eastAsia="Calibri" w:cs="Arial"/>
                <w:b/>
                <w:bCs/>
              </w:rPr>
            </w:pPr>
            <w:r w:rsidRPr="006372B8">
              <w:rPr>
                <w:rFonts w:eastAsia="Calibri" w:cs="Arial"/>
                <w:b/>
                <w:bCs/>
                <w:lang w:val="es-ES_tradnl"/>
              </w:rPr>
              <w:t>Período actual en US$</w:t>
            </w:r>
          </w:p>
        </w:tc>
        <w:tc>
          <w:tcPr>
            <w:tcW w:w="1733" w:type="dxa"/>
            <w:hideMark/>
          </w:tcPr>
          <w:p w14:paraId="05FAEB4E" w14:textId="77777777" w:rsidR="0038698C" w:rsidRPr="002D4144" w:rsidRDefault="0038698C" w:rsidP="00914CD9">
            <w:pPr>
              <w:spacing w:after="120" w:line="240" w:lineRule="atLeast"/>
              <w:jc w:val="both"/>
              <w:rPr>
                <w:rFonts w:eastAsia="Calibri" w:cs="Arial"/>
                <w:b/>
                <w:bCs/>
              </w:rPr>
            </w:pPr>
            <w:r w:rsidRPr="00845CB4">
              <w:rPr>
                <w:rFonts w:eastAsia="Calibri" w:cs="Arial"/>
                <w:b/>
                <w:bCs/>
                <w:lang w:val="es-ES_tradnl"/>
              </w:rPr>
              <w:t>Período</w:t>
            </w:r>
            <w:r w:rsidRPr="002D4144">
              <w:rPr>
                <w:rFonts w:eastAsia="Calibri" w:cs="Arial"/>
                <w:b/>
                <w:bCs/>
              </w:rPr>
              <w:t xml:space="preserve"> </w:t>
            </w:r>
            <w:r>
              <w:rPr>
                <w:rFonts w:eastAsia="Calibri" w:cs="Arial"/>
                <w:b/>
                <w:bCs/>
              </w:rPr>
              <w:t>anterior en</w:t>
            </w:r>
            <w:r w:rsidRPr="002D4144">
              <w:rPr>
                <w:rFonts w:eastAsia="Calibri" w:cs="Arial"/>
                <w:b/>
                <w:bCs/>
              </w:rPr>
              <w:t xml:space="preserve"> US$</w:t>
            </w:r>
          </w:p>
        </w:tc>
        <w:tc>
          <w:tcPr>
            <w:tcW w:w="2339" w:type="dxa"/>
            <w:vMerge w:val="restart"/>
            <w:hideMark/>
          </w:tcPr>
          <w:p w14:paraId="0621D553" w14:textId="77777777" w:rsidR="0038698C" w:rsidRPr="002D4144" w:rsidRDefault="0038698C" w:rsidP="00914CD9">
            <w:pPr>
              <w:spacing w:after="120" w:line="240" w:lineRule="atLeast"/>
              <w:jc w:val="both"/>
              <w:rPr>
                <w:rFonts w:eastAsia="Calibri" w:cs="Arial"/>
                <w:b/>
                <w:bCs/>
              </w:rPr>
            </w:pPr>
            <w:r w:rsidRPr="00845CB4">
              <w:rPr>
                <w:rFonts w:eastAsia="Calibri" w:cs="Arial"/>
                <w:b/>
                <w:bCs/>
                <w:lang w:val="es-ES_tradnl"/>
              </w:rPr>
              <w:t>Acumulativo</w:t>
            </w:r>
            <w:r>
              <w:rPr>
                <w:rFonts w:eastAsia="Calibri" w:cs="Arial"/>
                <w:b/>
                <w:bCs/>
              </w:rPr>
              <w:t xml:space="preserve"> en</w:t>
            </w:r>
            <w:r w:rsidRPr="002D4144">
              <w:rPr>
                <w:rFonts w:eastAsia="Calibri" w:cs="Arial"/>
                <w:b/>
                <w:bCs/>
              </w:rPr>
              <w:t xml:space="preserve"> US$</w:t>
            </w:r>
          </w:p>
        </w:tc>
      </w:tr>
      <w:tr w:rsidR="0038698C" w:rsidRPr="002D4144" w14:paraId="6A7D74B5" w14:textId="77777777" w:rsidTr="0038698C">
        <w:trPr>
          <w:trHeight w:val="300"/>
        </w:trPr>
        <w:tc>
          <w:tcPr>
            <w:tcW w:w="2430" w:type="dxa"/>
            <w:vMerge/>
            <w:hideMark/>
          </w:tcPr>
          <w:p w14:paraId="624A3D2E" w14:textId="77777777" w:rsidR="0038698C" w:rsidRPr="002D4144" w:rsidRDefault="0038698C" w:rsidP="00914CD9">
            <w:pPr>
              <w:spacing w:after="120" w:line="240" w:lineRule="atLeast"/>
              <w:jc w:val="both"/>
              <w:rPr>
                <w:rFonts w:eastAsia="Calibri" w:cs="Arial"/>
                <w:b/>
                <w:bCs/>
              </w:rPr>
            </w:pPr>
          </w:p>
        </w:tc>
        <w:tc>
          <w:tcPr>
            <w:tcW w:w="2858" w:type="dxa"/>
            <w:vMerge/>
            <w:hideMark/>
          </w:tcPr>
          <w:p w14:paraId="5519EBBF" w14:textId="77777777" w:rsidR="0038698C" w:rsidRPr="002D4144" w:rsidRDefault="0038698C" w:rsidP="00914CD9">
            <w:pPr>
              <w:spacing w:after="120" w:line="240" w:lineRule="atLeast"/>
              <w:jc w:val="both"/>
              <w:rPr>
                <w:rFonts w:eastAsia="Calibri" w:cs="Arial"/>
                <w:b/>
                <w:bCs/>
              </w:rPr>
            </w:pPr>
          </w:p>
        </w:tc>
        <w:tc>
          <w:tcPr>
            <w:tcW w:w="1733" w:type="dxa"/>
            <w:hideMark/>
          </w:tcPr>
          <w:p w14:paraId="5E75D6A7" w14:textId="77777777" w:rsidR="0038698C" w:rsidRPr="002D4144" w:rsidRDefault="0038698C" w:rsidP="00914CD9">
            <w:pPr>
              <w:spacing w:after="120" w:line="240" w:lineRule="atLeast"/>
              <w:jc w:val="both"/>
              <w:rPr>
                <w:rFonts w:eastAsia="Calibri" w:cs="Arial"/>
                <w:b/>
                <w:bCs/>
              </w:rPr>
            </w:pPr>
          </w:p>
        </w:tc>
        <w:tc>
          <w:tcPr>
            <w:tcW w:w="2339" w:type="dxa"/>
            <w:vMerge/>
            <w:hideMark/>
          </w:tcPr>
          <w:p w14:paraId="69B89D75" w14:textId="77777777" w:rsidR="0038698C" w:rsidRPr="002D4144" w:rsidRDefault="0038698C" w:rsidP="00914CD9">
            <w:pPr>
              <w:spacing w:after="120" w:line="240" w:lineRule="atLeast"/>
              <w:jc w:val="both"/>
              <w:rPr>
                <w:rFonts w:eastAsia="Calibri" w:cs="Arial"/>
                <w:b/>
                <w:bCs/>
              </w:rPr>
            </w:pPr>
          </w:p>
        </w:tc>
      </w:tr>
      <w:tr w:rsidR="0038698C" w:rsidRPr="002D4144" w14:paraId="360BA0C8" w14:textId="77777777" w:rsidTr="0038698C">
        <w:trPr>
          <w:trHeight w:val="300"/>
        </w:trPr>
        <w:tc>
          <w:tcPr>
            <w:tcW w:w="2430" w:type="dxa"/>
            <w:hideMark/>
          </w:tcPr>
          <w:p w14:paraId="69F33079" w14:textId="77777777" w:rsidR="0038698C" w:rsidRPr="00845CB4" w:rsidRDefault="0038698C" w:rsidP="00914CD9">
            <w:pPr>
              <w:spacing w:after="120" w:line="240" w:lineRule="atLeast"/>
              <w:jc w:val="both"/>
              <w:rPr>
                <w:rFonts w:eastAsia="Calibri" w:cs="Arial"/>
                <w:lang w:val="es-ES_tradnl"/>
              </w:rPr>
            </w:pPr>
            <w:r w:rsidRPr="00845CB4">
              <w:rPr>
                <w:rFonts w:eastAsia="Calibri" w:cs="Arial"/>
                <w:lang w:val="es-ES_tradnl"/>
              </w:rPr>
              <w:t>Desembolso 1</w:t>
            </w:r>
          </w:p>
        </w:tc>
        <w:tc>
          <w:tcPr>
            <w:tcW w:w="2858" w:type="dxa"/>
            <w:hideMark/>
          </w:tcPr>
          <w:p w14:paraId="3197814D" w14:textId="77777777" w:rsidR="0038698C" w:rsidRPr="002D4144" w:rsidRDefault="0038698C" w:rsidP="00914CD9">
            <w:pPr>
              <w:spacing w:after="120" w:line="240" w:lineRule="atLeast"/>
              <w:jc w:val="both"/>
              <w:rPr>
                <w:rFonts w:eastAsia="Calibri" w:cs="Arial"/>
              </w:rPr>
            </w:pPr>
            <w:r>
              <w:rPr>
                <w:rFonts w:eastAsia="Calibri" w:cs="Arial"/>
              </w:rPr>
              <w:t>2.030.</w:t>
            </w:r>
            <w:r w:rsidRPr="002D4144">
              <w:rPr>
                <w:rFonts w:eastAsia="Calibri" w:cs="Arial"/>
              </w:rPr>
              <w:t>908</w:t>
            </w:r>
          </w:p>
        </w:tc>
        <w:tc>
          <w:tcPr>
            <w:tcW w:w="1733" w:type="dxa"/>
            <w:hideMark/>
          </w:tcPr>
          <w:p w14:paraId="1C483DAB" w14:textId="77777777" w:rsidR="0038698C" w:rsidRPr="002D4144" w:rsidRDefault="0038698C" w:rsidP="00914CD9">
            <w:pPr>
              <w:spacing w:after="120" w:line="240" w:lineRule="atLeast"/>
              <w:jc w:val="both"/>
              <w:rPr>
                <w:rFonts w:eastAsia="Calibri" w:cs="Arial"/>
              </w:rPr>
            </w:pPr>
          </w:p>
        </w:tc>
        <w:tc>
          <w:tcPr>
            <w:tcW w:w="2339" w:type="dxa"/>
            <w:hideMark/>
          </w:tcPr>
          <w:p w14:paraId="1A7282AB" w14:textId="77777777" w:rsidR="0038698C" w:rsidRPr="002D4144" w:rsidRDefault="0038698C" w:rsidP="00914CD9">
            <w:pPr>
              <w:spacing w:after="120" w:line="240" w:lineRule="atLeast"/>
              <w:jc w:val="both"/>
              <w:rPr>
                <w:rFonts w:eastAsia="Calibri" w:cs="Arial"/>
              </w:rPr>
            </w:pPr>
            <w:r>
              <w:rPr>
                <w:rFonts w:eastAsia="Calibri" w:cs="Arial"/>
              </w:rPr>
              <w:t>2.030.</w:t>
            </w:r>
            <w:r w:rsidRPr="002D4144">
              <w:rPr>
                <w:rFonts w:eastAsia="Calibri" w:cs="Arial"/>
              </w:rPr>
              <w:t>908</w:t>
            </w:r>
          </w:p>
        </w:tc>
      </w:tr>
      <w:tr w:rsidR="0038698C" w:rsidRPr="002D4144" w14:paraId="4D91B997" w14:textId="77777777" w:rsidTr="0038698C">
        <w:trPr>
          <w:trHeight w:val="300"/>
        </w:trPr>
        <w:tc>
          <w:tcPr>
            <w:tcW w:w="2430" w:type="dxa"/>
            <w:hideMark/>
          </w:tcPr>
          <w:p w14:paraId="7723D725" w14:textId="77777777" w:rsidR="0038698C" w:rsidRPr="00845CB4" w:rsidRDefault="0038698C" w:rsidP="00914CD9">
            <w:pPr>
              <w:spacing w:after="120" w:line="240" w:lineRule="atLeast"/>
              <w:jc w:val="both"/>
              <w:rPr>
                <w:rFonts w:eastAsia="Calibri" w:cs="Arial"/>
                <w:lang w:val="es-ES_tradnl"/>
              </w:rPr>
            </w:pPr>
            <w:r w:rsidRPr="00845CB4">
              <w:rPr>
                <w:rFonts w:eastAsia="Calibri" w:cs="Arial"/>
                <w:lang w:val="es-ES_tradnl"/>
              </w:rPr>
              <w:t>Desembolso 2</w:t>
            </w:r>
          </w:p>
        </w:tc>
        <w:tc>
          <w:tcPr>
            <w:tcW w:w="2858" w:type="dxa"/>
            <w:hideMark/>
          </w:tcPr>
          <w:p w14:paraId="35019303" w14:textId="77777777" w:rsidR="0038698C" w:rsidRPr="002D4144" w:rsidRDefault="0038698C" w:rsidP="00914CD9">
            <w:pPr>
              <w:spacing w:after="120" w:line="240" w:lineRule="atLeast"/>
              <w:jc w:val="both"/>
              <w:rPr>
                <w:rFonts w:eastAsia="Calibri" w:cs="Arial"/>
              </w:rPr>
            </w:pPr>
            <w:r>
              <w:rPr>
                <w:rFonts w:eastAsia="Calibri" w:cs="Arial"/>
              </w:rPr>
              <w:t>4.415.</w:t>
            </w:r>
            <w:r w:rsidRPr="002D4144">
              <w:rPr>
                <w:rFonts w:eastAsia="Calibri" w:cs="Arial"/>
              </w:rPr>
              <w:t>108</w:t>
            </w:r>
          </w:p>
        </w:tc>
        <w:tc>
          <w:tcPr>
            <w:tcW w:w="1733" w:type="dxa"/>
            <w:hideMark/>
          </w:tcPr>
          <w:p w14:paraId="1871BB93" w14:textId="77777777" w:rsidR="0038698C" w:rsidRPr="002D4144" w:rsidRDefault="0038698C" w:rsidP="00914CD9">
            <w:pPr>
              <w:spacing w:after="120" w:line="240" w:lineRule="atLeast"/>
              <w:jc w:val="both"/>
              <w:rPr>
                <w:rFonts w:eastAsia="Calibri" w:cs="Arial"/>
              </w:rPr>
            </w:pPr>
          </w:p>
        </w:tc>
        <w:tc>
          <w:tcPr>
            <w:tcW w:w="2339" w:type="dxa"/>
            <w:hideMark/>
          </w:tcPr>
          <w:p w14:paraId="5E35B5F1" w14:textId="77777777" w:rsidR="0038698C" w:rsidRPr="002D4144" w:rsidRDefault="0038698C" w:rsidP="00914CD9">
            <w:pPr>
              <w:spacing w:after="120" w:line="240" w:lineRule="atLeast"/>
              <w:jc w:val="both"/>
              <w:rPr>
                <w:rFonts w:eastAsia="Calibri" w:cs="Arial"/>
              </w:rPr>
            </w:pPr>
            <w:r>
              <w:rPr>
                <w:rFonts w:eastAsia="Calibri" w:cs="Arial"/>
              </w:rPr>
              <w:t>4.415.</w:t>
            </w:r>
            <w:r w:rsidRPr="002D4144">
              <w:rPr>
                <w:rFonts w:eastAsia="Calibri" w:cs="Arial"/>
              </w:rPr>
              <w:t>108</w:t>
            </w:r>
          </w:p>
        </w:tc>
      </w:tr>
      <w:tr w:rsidR="0038698C" w:rsidRPr="002D4144" w14:paraId="6F094815" w14:textId="77777777" w:rsidTr="0038698C">
        <w:trPr>
          <w:trHeight w:val="300"/>
        </w:trPr>
        <w:tc>
          <w:tcPr>
            <w:tcW w:w="2430" w:type="dxa"/>
            <w:hideMark/>
          </w:tcPr>
          <w:p w14:paraId="6A89A3EE" w14:textId="77777777" w:rsidR="0038698C" w:rsidRPr="00845CB4" w:rsidRDefault="0038698C" w:rsidP="00914CD9">
            <w:pPr>
              <w:spacing w:after="120" w:line="240" w:lineRule="atLeast"/>
              <w:jc w:val="both"/>
              <w:rPr>
                <w:rFonts w:eastAsia="Calibri" w:cs="Arial"/>
                <w:lang w:val="es-ES_tradnl"/>
              </w:rPr>
            </w:pPr>
            <w:r w:rsidRPr="00845CB4">
              <w:rPr>
                <w:rFonts w:eastAsia="Calibri" w:cs="Arial"/>
                <w:lang w:val="es-ES_tradnl"/>
              </w:rPr>
              <w:t>Desembolso 3</w:t>
            </w:r>
          </w:p>
        </w:tc>
        <w:tc>
          <w:tcPr>
            <w:tcW w:w="2858" w:type="dxa"/>
            <w:hideMark/>
          </w:tcPr>
          <w:p w14:paraId="3D62C5A4" w14:textId="77777777" w:rsidR="0038698C" w:rsidRPr="002D4144" w:rsidRDefault="0038698C" w:rsidP="00914CD9">
            <w:pPr>
              <w:spacing w:after="120" w:line="240" w:lineRule="atLeast"/>
              <w:jc w:val="both"/>
              <w:rPr>
                <w:rFonts w:eastAsia="Calibri" w:cs="Arial"/>
              </w:rPr>
            </w:pPr>
            <w:r>
              <w:rPr>
                <w:rFonts w:eastAsia="Calibri" w:cs="Arial"/>
              </w:rPr>
              <w:t>8.253.</w:t>
            </w:r>
            <w:r w:rsidRPr="002D4144">
              <w:rPr>
                <w:rFonts w:eastAsia="Calibri" w:cs="Arial"/>
              </w:rPr>
              <w:t>984</w:t>
            </w:r>
          </w:p>
        </w:tc>
        <w:tc>
          <w:tcPr>
            <w:tcW w:w="1733" w:type="dxa"/>
            <w:hideMark/>
          </w:tcPr>
          <w:p w14:paraId="1144F8CD" w14:textId="77777777" w:rsidR="0038698C" w:rsidRPr="002D4144" w:rsidRDefault="0038698C" w:rsidP="00914CD9">
            <w:pPr>
              <w:spacing w:after="120" w:line="240" w:lineRule="atLeast"/>
              <w:jc w:val="both"/>
              <w:rPr>
                <w:rFonts w:eastAsia="Calibri" w:cs="Arial"/>
              </w:rPr>
            </w:pPr>
          </w:p>
        </w:tc>
        <w:tc>
          <w:tcPr>
            <w:tcW w:w="2339" w:type="dxa"/>
            <w:hideMark/>
          </w:tcPr>
          <w:p w14:paraId="1E098A3F" w14:textId="77777777" w:rsidR="0038698C" w:rsidRPr="002D4144" w:rsidRDefault="0038698C" w:rsidP="00914CD9">
            <w:pPr>
              <w:spacing w:after="120" w:line="240" w:lineRule="atLeast"/>
              <w:jc w:val="both"/>
              <w:rPr>
                <w:rFonts w:eastAsia="Calibri" w:cs="Arial"/>
              </w:rPr>
            </w:pPr>
            <w:r>
              <w:rPr>
                <w:rFonts w:eastAsia="Calibri" w:cs="Arial"/>
              </w:rPr>
              <w:t>8.253.</w:t>
            </w:r>
            <w:r w:rsidRPr="002D4144">
              <w:rPr>
                <w:rFonts w:eastAsia="Calibri" w:cs="Arial"/>
              </w:rPr>
              <w:t>984</w:t>
            </w:r>
          </w:p>
        </w:tc>
      </w:tr>
      <w:tr w:rsidR="0038698C" w:rsidRPr="002D4144" w14:paraId="6D50B827" w14:textId="77777777" w:rsidTr="0038698C">
        <w:trPr>
          <w:trHeight w:val="300"/>
        </w:trPr>
        <w:tc>
          <w:tcPr>
            <w:tcW w:w="2430" w:type="dxa"/>
            <w:hideMark/>
          </w:tcPr>
          <w:p w14:paraId="521F4C7B" w14:textId="77777777" w:rsidR="0038698C" w:rsidRPr="00845CB4" w:rsidRDefault="0038698C" w:rsidP="00914CD9">
            <w:pPr>
              <w:spacing w:after="120" w:line="240" w:lineRule="atLeast"/>
              <w:jc w:val="both"/>
              <w:rPr>
                <w:rFonts w:eastAsia="Calibri" w:cs="Arial"/>
                <w:lang w:val="es-ES_tradnl"/>
              </w:rPr>
            </w:pPr>
            <w:r w:rsidRPr="00845CB4">
              <w:rPr>
                <w:rFonts w:eastAsia="Calibri" w:cs="Arial"/>
                <w:lang w:val="es-ES_tradnl"/>
              </w:rPr>
              <w:t>Desembolsos</w:t>
            </w:r>
          </w:p>
        </w:tc>
        <w:tc>
          <w:tcPr>
            <w:tcW w:w="2858" w:type="dxa"/>
            <w:hideMark/>
          </w:tcPr>
          <w:p w14:paraId="15C5F875" w14:textId="77777777" w:rsidR="0038698C" w:rsidRPr="002D4144" w:rsidRDefault="0038698C" w:rsidP="00914CD9">
            <w:pPr>
              <w:spacing w:after="120" w:line="240" w:lineRule="atLeast"/>
              <w:jc w:val="both"/>
              <w:rPr>
                <w:rFonts w:eastAsia="Calibri" w:cs="Arial"/>
              </w:rPr>
            </w:pPr>
          </w:p>
        </w:tc>
        <w:tc>
          <w:tcPr>
            <w:tcW w:w="1733" w:type="dxa"/>
            <w:hideMark/>
          </w:tcPr>
          <w:p w14:paraId="66D957F3" w14:textId="77777777" w:rsidR="0038698C" w:rsidRPr="002D4144" w:rsidRDefault="0038698C" w:rsidP="00914CD9">
            <w:pPr>
              <w:spacing w:after="120" w:line="240" w:lineRule="atLeast"/>
              <w:jc w:val="both"/>
              <w:rPr>
                <w:rFonts w:eastAsia="Calibri" w:cs="Arial"/>
              </w:rPr>
            </w:pPr>
            <w:r>
              <w:rPr>
                <w:rFonts w:eastAsia="Calibri" w:cs="Arial"/>
              </w:rPr>
              <w:t>12.260.</w:t>
            </w:r>
            <w:r w:rsidRPr="002D4144">
              <w:rPr>
                <w:rFonts w:eastAsia="Calibri" w:cs="Arial"/>
              </w:rPr>
              <w:t>000</w:t>
            </w:r>
          </w:p>
        </w:tc>
        <w:tc>
          <w:tcPr>
            <w:tcW w:w="2339" w:type="dxa"/>
            <w:hideMark/>
          </w:tcPr>
          <w:p w14:paraId="3B0FEF00" w14:textId="77777777" w:rsidR="0038698C" w:rsidRPr="002D4144" w:rsidRDefault="0038698C" w:rsidP="00914CD9">
            <w:pPr>
              <w:spacing w:after="120" w:line="240" w:lineRule="atLeast"/>
              <w:jc w:val="both"/>
              <w:rPr>
                <w:rFonts w:eastAsia="Calibri" w:cs="Arial"/>
              </w:rPr>
            </w:pPr>
            <w:r>
              <w:rPr>
                <w:rFonts w:eastAsia="Calibri" w:cs="Arial"/>
              </w:rPr>
              <w:t>12.260.</w:t>
            </w:r>
            <w:r w:rsidRPr="002D4144">
              <w:rPr>
                <w:rFonts w:eastAsia="Calibri" w:cs="Arial"/>
              </w:rPr>
              <w:t>000</w:t>
            </w:r>
          </w:p>
        </w:tc>
      </w:tr>
      <w:tr w:rsidR="0038698C" w:rsidRPr="002D4144" w14:paraId="18B9A333" w14:textId="77777777" w:rsidTr="0038698C">
        <w:trPr>
          <w:trHeight w:val="300"/>
        </w:trPr>
        <w:tc>
          <w:tcPr>
            <w:tcW w:w="2430" w:type="dxa"/>
            <w:hideMark/>
          </w:tcPr>
          <w:p w14:paraId="4CB59240" w14:textId="77777777" w:rsidR="0038698C" w:rsidRPr="002D4144" w:rsidRDefault="0038698C" w:rsidP="00914CD9">
            <w:pPr>
              <w:spacing w:after="120" w:line="240" w:lineRule="atLeast"/>
              <w:jc w:val="both"/>
              <w:rPr>
                <w:rFonts w:eastAsia="Calibri" w:cs="Arial"/>
              </w:rPr>
            </w:pPr>
          </w:p>
        </w:tc>
        <w:tc>
          <w:tcPr>
            <w:tcW w:w="2858" w:type="dxa"/>
            <w:hideMark/>
          </w:tcPr>
          <w:p w14:paraId="6CB8723F" w14:textId="77777777" w:rsidR="0038698C" w:rsidRPr="002D4144" w:rsidRDefault="0038698C" w:rsidP="00914CD9">
            <w:pPr>
              <w:spacing w:after="120" w:line="240" w:lineRule="atLeast"/>
              <w:jc w:val="both"/>
              <w:rPr>
                <w:rFonts w:eastAsia="Calibri" w:cs="Arial"/>
              </w:rPr>
            </w:pPr>
            <w:r w:rsidRPr="002D4144">
              <w:rPr>
                <w:rFonts w:eastAsia="Calibri" w:cs="Arial"/>
              </w:rPr>
              <w:t>_________</w:t>
            </w:r>
          </w:p>
        </w:tc>
        <w:tc>
          <w:tcPr>
            <w:tcW w:w="1733" w:type="dxa"/>
            <w:hideMark/>
          </w:tcPr>
          <w:p w14:paraId="7B03C249" w14:textId="77777777" w:rsidR="0038698C" w:rsidRPr="002D4144" w:rsidRDefault="0038698C" w:rsidP="00914CD9">
            <w:pPr>
              <w:spacing w:after="120" w:line="240" w:lineRule="atLeast"/>
              <w:jc w:val="both"/>
              <w:rPr>
                <w:rFonts w:eastAsia="Calibri" w:cs="Arial"/>
              </w:rPr>
            </w:pPr>
            <w:r w:rsidRPr="002D4144">
              <w:rPr>
                <w:rFonts w:eastAsia="Calibri" w:cs="Arial"/>
              </w:rPr>
              <w:t>________</w:t>
            </w:r>
          </w:p>
        </w:tc>
        <w:tc>
          <w:tcPr>
            <w:tcW w:w="2339" w:type="dxa"/>
            <w:hideMark/>
          </w:tcPr>
          <w:p w14:paraId="5A415DD5" w14:textId="77777777" w:rsidR="0038698C" w:rsidRPr="002D4144" w:rsidRDefault="0038698C" w:rsidP="00914CD9">
            <w:pPr>
              <w:spacing w:after="120" w:line="240" w:lineRule="atLeast"/>
              <w:jc w:val="both"/>
              <w:rPr>
                <w:rFonts w:eastAsia="Calibri" w:cs="Arial"/>
              </w:rPr>
            </w:pPr>
            <w:r w:rsidRPr="002D4144">
              <w:rPr>
                <w:rFonts w:eastAsia="Calibri" w:cs="Arial"/>
              </w:rPr>
              <w:t>_________</w:t>
            </w:r>
          </w:p>
        </w:tc>
      </w:tr>
      <w:tr w:rsidR="0038698C" w:rsidRPr="002D4144" w14:paraId="177EECA8" w14:textId="77777777" w:rsidTr="0038698C">
        <w:trPr>
          <w:trHeight w:val="300"/>
        </w:trPr>
        <w:tc>
          <w:tcPr>
            <w:tcW w:w="2430" w:type="dxa"/>
            <w:hideMark/>
          </w:tcPr>
          <w:p w14:paraId="24B6A7CE" w14:textId="77777777" w:rsidR="0038698C" w:rsidRPr="002D4144" w:rsidRDefault="0038698C" w:rsidP="00914CD9">
            <w:pPr>
              <w:spacing w:after="120" w:line="240" w:lineRule="atLeast"/>
              <w:jc w:val="both"/>
              <w:rPr>
                <w:rFonts w:eastAsia="Calibri" w:cs="Arial"/>
              </w:rPr>
            </w:pPr>
          </w:p>
        </w:tc>
        <w:tc>
          <w:tcPr>
            <w:tcW w:w="2858" w:type="dxa"/>
            <w:hideMark/>
          </w:tcPr>
          <w:p w14:paraId="0E50603B" w14:textId="77777777" w:rsidR="0038698C" w:rsidRPr="002D4144" w:rsidRDefault="0038698C" w:rsidP="00914CD9">
            <w:pPr>
              <w:spacing w:after="120" w:line="240" w:lineRule="atLeast"/>
              <w:jc w:val="both"/>
              <w:rPr>
                <w:rFonts w:eastAsia="Calibri" w:cs="Arial"/>
                <w:b/>
                <w:bCs/>
              </w:rPr>
            </w:pPr>
            <w:r>
              <w:rPr>
                <w:rFonts w:eastAsia="Calibri" w:cs="Arial"/>
                <w:b/>
                <w:bCs/>
              </w:rPr>
              <w:t>14.700.</w:t>
            </w:r>
            <w:r w:rsidRPr="002D4144">
              <w:rPr>
                <w:rFonts w:eastAsia="Calibri" w:cs="Arial"/>
                <w:b/>
                <w:bCs/>
              </w:rPr>
              <w:t>000</w:t>
            </w:r>
          </w:p>
        </w:tc>
        <w:tc>
          <w:tcPr>
            <w:tcW w:w="1733" w:type="dxa"/>
            <w:hideMark/>
          </w:tcPr>
          <w:p w14:paraId="3C887B78" w14:textId="77777777" w:rsidR="0038698C" w:rsidRPr="002D4144" w:rsidRDefault="0038698C" w:rsidP="00914CD9">
            <w:pPr>
              <w:spacing w:after="120" w:line="240" w:lineRule="atLeast"/>
              <w:jc w:val="both"/>
              <w:rPr>
                <w:rFonts w:eastAsia="Calibri" w:cs="Arial"/>
                <w:b/>
                <w:bCs/>
              </w:rPr>
            </w:pPr>
            <w:r>
              <w:rPr>
                <w:rFonts w:eastAsia="Calibri" w:cs="Arial"/>
                <w:b/>
                <w:bCs/>
              </w:rPr>
              <w:t>12.260.</w:t>
            </w:r>
            <w:r w:rsidRPr="002D4144">
              <w:rPr>
                <w:rFonts w:eastAsia="Calibri" w:cs="Arial"/>
                <w:b/>
                <w:bCs/>
              </w:rPr>
              <w:t>000</w:t>
            </w:r>
          </w:p>
        </w:tc>
        <w:tc>
          <w:tcPr>
            <w:tcW w:w="2339" w:type="dxa"/>
            <w:hideMark/>
          </w:tcPr>
          <w:p w14:paraId="5AF581BC" w14:textId="77777777" w:rsidR="0038698C" w:rsidRPr="002D4144" w:rsidRDefault="0038698C" w:rsidP="00914CD9">
            <w:pPr>
              <w:spacing w:after="120" w:line="240" w:lineRule="atLeast"/>
              <w:jc w:val="both"/>
              <w:rPr>
                <w:rFonts w:eastAsia="Calibri" w:cs="Arial"/>
                <w:b/>
                <w:bCs/>
              </w:rPr>
            </w:pPr>
            <w:r>
              <w:rPr>
                <w:rFonts w:eastAsia="Calibri" w:cs="Arial"/>
                <w:b/>
                <w:bCs/>
              </w:rPr>
              <w:t>26.960.</w:t>
            </w:r>
            <w:r w:rsidRPr="002D4144">
              <w:rPr>
                <w:rFonts w:eastAsia="Calibri" w:cs="Arial"/>
                <w:b/>
                <w:bCs/>
              </w:rPr>
              <w:t>000</w:t>
            </w:r>
          </w:p>
        </w:tc>
      </w:tr>
      <w:tr w:rsidR="0038698C" w:rsidRPr="002D4144" w14:paraId="7C272186" w14:textId="77777777" w:rsidTr="0038698C">
        <w:trPr>
          <w:trHeight w:val="300"/>
        </w:trPr>
        <w:tc>
          <w:tcPr>
            <w:tcW w:w="2430" w:type="dxa"/>
            <w:hideMark/>
          </w:tcPr>
          <w:p w14:paraId="7B4996F6" w14:textId="77777777" w:rsidR="0038698C" w:rsidRPr="002D4144" w:rsidRDefault="0038698C" w:rsidP="00914CD9">
            <w:pPr>
              <w:spacing w:after="120" w:line="240" w:lineRule="atLeast"/>
              <w:jc w:val="both"/>
              <w:rPr>
                <w:rFonts w:eastAsia="Calibri" w:cs="Arial"/>
                <w:b/>
                <w:bCs/>
              </w:rPr>
            </w:pPr>
          </w:p>
        </w:tc>
        <w:tc>
          <w:tcPr>
            <w:tcW w:w="2858" w:type="dxa"/>
            <w:hideMark/>
          </w:tcPr>
          <w:p w14:paraId="51314278" w14:textId="77777777" w:rsidR="0038698C" w:rsidRPr="002D4144" w:rsidRDefault="0038698C" w:rsidP="00914CD9">
            <w:pPr>
              <w:spacing w:after="120" w:line="240" w:lineRule="atLeast"/>
              <w:jc w:val="both"/>
              <w:rPr>
                <w:rFonts w:eastAsia="Calibri" w:cs="Arial"/>
              </w:rPr>
            </w:pPr>
            <w:r w:rsidRPr="002D4144">
              <w:rPr>
                <w:rFonts w:eastAsia="Calibri" w:cs="Arial"/>
              </w:rPr>
              <w:t>=========</w:t>
            </w:r>
          </w:p>
        </w:tc>
        <w:tc>
          <w:tcPr>
            <w:tcW w:w="1733" w:type="dxa"/>
            <w:hideMark/>
          </w:tcPr>
          <w:p w14:paraId="69CFCD08" w14:textId="77777777" w:rsidR="0038698C" w:rsidRPr="002D4144" w:rsidRDefault="0038698C" w:rsidP="00914CD9">
            <w:pPr>
              <w:spacing w:after="120" w:line="240" w:lineRule="atLeast"/>
              <w:jc w:val="both"/>
              <w:rPr>
                <w:rFonts w:eastAsia="Calibri" w:cs="Arial"/>
              </w:rPr>
            </w:pPr>
            <w:r w:rsidRPr="002D4144">
              <w:rPr>
                <w:rFonts w:eastAsia="Calibri" w:cs="Arial"/>
              </w:rPr>
              <w:t>=========</w:t>
            </w:r>
          </w:p>
        </w:tc>
        <w:tc>
          <w:tcPr>
            <w:tcW w:w="2339" w:type="dxa"/>
            <w:hideMark/>
          </w:tcPr>
          <w:p w14:paraId="63F9AB22" w14:textId="77777777" w:rsidR="0038698C" w:rsidRPr="002D4144" w:rsidRDefault="0038698C" w:rsidP="00914CD9">
            <w:pPr>
              <w:spacing w:after="120" w:line="240" w:lineRule="atLeast"/>
              <w:jc w:val="both"/>
              <w:rPr>
                <w:rFonts w:eastAsia="Calibri" w:cs="Arial"/>
              </w:rPr>
            </w:pPr>
            <w:r w:rsidRPr="002D4144">
              <w:rPr>
                <w:rFonts w:eastAsia="Calibri" w:cs="Arial"/>
              </w:rPr>
              <w:t>=========</w:t>
            </w:r>
          </w:p>
        </w:tc>
      </w:tr>
    </w:tbl>
    <w:p w14:paraId="043DFA49" w14:textId="77777777" w:rsidR="0038698C" w:rsidRPr="002D4144" w:rsidRDefault="0038698C" w:rsidP="00914CD9">
      <w:pPr>
        <w:jc w:val="both"/>
        <w:rPr>
          <w:rFonts w:eastAsia="Calibri" w:cs="Arial"/>
        </w:rPr>
      </w:pPr>
    </w:p>
    <w:p w14:paraId="58B76583" w14:textId="77777777" w:rsidR="0038698C" w:rsidRPr="002D4144" w:rsidRDefault="0038698C" w:rsidP="00914CD9">
      <w:pPr>
        <w:spacing w:after="120"/>
        <w:jc w:val="both"/>
        <w:rPr>
          <w:rFonts w:eastAsia="Calibri" w:cs="Arial"/>
          <w:b/>
        </w:rPr>
      </w:pPr>
    </w:p>
    <w:p w14:paraId="0EBE25C3" w14:textId="77777777" w:rsidR="0038698C" w:rsidRPr="002D4144" w:rsidRDefault="0038698C" w:rsidP="00914CD9">
      <w:pPr>
        <w:spacing w:after="120"/>
        <w:jc w:val="both"/>
        <w:rPr>
          <w:rFonts w:eastAsia="Calibri" w:cs="Arial"/>
          <w:b/>
        </w:rPr>
      </w:pPr>
    </w:p>
    <w:p w14:paraId="1E205A30" w14:textId="77777777" w:rsidR="0038698C" w:rsidRDefault="0038698C" w:rsidP="00914CD9">
      <w:pPr>
        <w:spacing w:after="120"/>
        <w:jc w:val="both"/>
        <w:rPr>
          <w:rFonts w:eastAsia="Calibri" w:cs="Arial"/>
          <w:b/>
          <w:lang w:val="es-ES_tradnl"/>
        </w:rPr>
      </w:pPr>
    </w:p>
    <w:p w14:paraId="2FBB7525" w14:textId="2D6F33BB" w:rsidR="0038698C" w:rsidRPr="004B1731" w:rsidRDefault="0038698C" w:rsidP="00914CD9">
      <w:pPr>
        <w:spacing w:after="120"/>
        <w:jc w:val="both"/>
        <w:rPr>
          <w:rFonts w:eastAsia="Calibri" w:cs="Arial"/>
          <w:b/>
          <w:lang w:val="es-ES_tradnl"/>
        </w:rPr>
      </w:pPr>
      <w:r w:rsidRPr="004B1731">
        <w:rPr>
          <w:rFonts w:eastAsia="Calibri" w:cs="Arial"/>
          <w:b/>
          <w:lang w:val="es-ES_tradnl"/>
        </w:rPr>
        <w:lastRenderedPageBreak/>
        <w:t xml:space="preserve">Nota 6: Recursos humanos </w:t>
      </w:r>
    </w:p>
    <w:p w14:paraId="4589D4F9" w14:textId="77777777" w:rsidR="0038698C" w:rsidRPr="007A7954" w:rsidRDefault="0038698C" w:rsidP="00914CD9">
      <w:pPr>
        <w:jc w:val="both"/>
        <w:rPr>
          <w:rFonts w:eastAsia="Calibri" w:cs="Arial"/>
          <w:lang w:val="es-ES_tradnl"/>
        </w:rPr>
      </w:pPr>
      <w:r>
        <w:rPr>
          <w:rFonts w:eastAsia="Calibri" w:cs="Arial"/>
          <w:lang w:val="es-ES_tradnl"/>
        </w:rPr>
        <w:t>Este concepto</w:t>
      </w:r>
      <w:r w:rsidRPr="007A7954">
        <w:rPr>
          <w:rFonts w:eastAsia="Calibri" w:cs="Arial"/>
          <w:lang w:val="es-ES_tradnl"/>
        </w:rPr>
        <w:t xml:space="preserve"> representa salarios y otros costos relacionados con el personal para los receptor</w:t>
      </w:r>
      <w:r>
        <w:rPr>
          <w:rFonts w:eastAsia="Calibri" w:cs="Arial"/>
          <w:lang w:val="es-ES_tradnl"/>
        </w:rPr>
        <w:t>e</w:t>
      </w:r>
      <w:r w:rsidRPr="007A7954">
        <w:rPr>
          <w:rFonts w:eastAsia="Calibri" w:cs="Arial"/>
          <w:lang w:val="es-ES_tradnl"/>
        </w:rPr>
        <w:t>s principal</w:t>
      </w:r>
      <w:r>
        <w:rPr>
          <w:rFonts w:eastAsia="Calibri" w:cs="Arial"/>
          <w:lang w:val="es-ES_tradnl"/>
        </w:rPr>
        <w:t>e</w:t>
      </w:r>
      <w:r w:rsidRPr="007A7954">
        <w:rPr>
          <w:rFonts w:eastAsia="Calibri" w:cs="Arial"/>
          <w:lang w:val="es-ES_tradnl"/>
        </w:rPr>
        <w:t>s y varios subreceptores.</w:t>
      </w:r>
    </w:p>
    <w:p w14:paraId="53BC27B4" w14:textId="77777777" w:rsidR="0038698C" w:rsidRPr="00325F25" w:rsidRDefault="0038698C" w:rsidP="00914CD9">
      <w:pPr>
        <w:spacing w:after="120"/>
        <w:jc w:val="both"/>
        <w:rPr>
          <w:rFonts w:eastAsia="Calibri" w:cs="Arial"/>
          <w:b/>
          <w:lang w:val="es-ES_tradnl"/>
        </w:rPr>
      </w:pPr>
    </w:p>
    <w:p w14:paraId="744BF6A9" w14:textId="77777777" w:rsidR="0038698C" w:rsidRPr="004B1731" w:rsidRDefault="0038698C" w:rsidP="00914CD9">
      <w:pPr>
        <w:spacing w:after="120"/>
        <w:jc w:val="both"/>
        <w:rPr>
          <w:rFonts w:eastAsia="Calibri" w:cs="Arial"/>
          <w:b/>
          <w:lang w:val="es-ES_tradnl"/>
        </w:rPr>
      </w:pPr>
      <w:r w:rsidRPr="004B1731">
        <w:rPr>
          <w:rFonts w:eastAsia="Calibri" w:cs="Arial"/>
          <w:b/>
          <w:lang w:val="es-ES_tradnl"/>
        </w:rPr>
        <w:t xml:space="preserve">Nota 7: Gastos de viaje </w:t>
      </w:r>
    </w:p>
    <w:p w14:paraId="21429C2B" w14:textId="77777777" w:rsidR="0038698C" w:rsidRPr="002D4144" w:rsidRDefault="0038698C" w:rsidP="00914CD9">
      <w:pPr>
        <w:spacing w:after="120"/>
        <w:jc w:val="both"/>
        <w:rPr>
          <w:rFonts w:eastAsia="Calibri" w:cs="Arial"/>
          <w:b/>
        </w:rPr>
      </w:pPr>
    </w:p>
    <w:tbl>
      <w:tblPr>
        <w:tblW w:w="8176" w:type="dxa"/>
        <w:tblLook w:val="04A0" w:firstRow="1" w:lastRow="0" w:firstColumn="1" w:lastColumn="0" w:noHBand="0" w:noVBand="1"/>
      </w:tblPr>
      <w:tblGrid>
        <w:gridCol w:w="7016"/>
        <w:gridCol w:w="1160"/>
      </w:tblGrid>
      <w:tr w:rsidR="0038698C" w:rsidRPr="002D4144" w14:paraId="7C3B4F70" w14:textId="77777777" w:rsidTr="0038698C">
        <w:trPr>
          <w:trHeight w:val="300"/>
        </w:trPr>
        <w:tc>
          <w:tcPr>
            <w:tcW w:w="7016" w:type="dxa"/>
            <w:tcBorders>
              <w:top w:val="nil"/>
              <w:left w:val="nil"/>
              <w:bottom w:val="nil"/>
              <w:right w:val="nil"/>
            </w:tcBorders>
            <w:shd w:val="clear" w:color="auto" w:fill="auto"/>
            <w:noWrap/>
            <w:vAlign w:val="bottom"/>
          </w:tcPr>
          <w:tbl>
            <w:tblPr>
              <w:tblW w:w="6800" w:type="dxa"/>
              <w:tblLook w:val="04A0" w:firstRow="1" w:lastRow="0" w:firstColumn="1" w:lastColumn="0" w:noHBand="0" w:noVBand="1"/>
            </w:tblPr>
            <w:tblGrid>
              <w:gridCol w:w="5220"/>
              <w:gridCol w:w="1580"/>
            </w:tblGrid>
            <w:tr w:rsidR="0038698C" w:rsidRPr="002D4144" w14:paraId="635A0B7C" w14:textId="77777777" w:rsidTr="0038698C">
              <w:trPr>
                <w:trHeight w:val="300"/>
              </w:trPr>
              <w:tc>
                <w:tcPr>
                  <w:tcW w:w="5220" w:type="dxa"/>
                  <w:tcBorders>
                    <w:top w:val="nil"/>
                    <w:left w:val="nil"/>
                    <w:bottom w:val="nil"/>
                    <w:right w:val="nil"/>
                  </w:tcBorders>
                  <w:shd w:val="clear" w:color="auto" w:fill="auto"/>
                  <w:noWrap/>
                  <w:vAlign w:val="bottom"/>
                  <w:hideMark/>
                </w:tcPr>
                <w:p w14:paraId="136DF152" w14:textId="77777777" w:rsidR="0038698C" w:rsidRPr="002D4144" w:rsidRDefault="0038698C" w:rsidP="00914CD9">
                  <w:pPr>
                    <w:jc w:val="both"/>
                    <w:rPr>
                      <w:rFonts w:eastAsia="Times New Roman" w:cs="Arial"/>
                    </w:rPr>
                  </w:pPr>
                </w:p>
              </w:tc>
              <w:tc>
                <w:tcPr>
                  <w:tcW w:w="1580" w:type="dxa"/>
                  <w:tcBorders>
                    <w:top w:val="nil"/>
                    <w:left w:val="nil"/>
                    <w:bottom w:val="nil"/>
                    <w:right w:val="nil"/>
                  </w:tcBorders>
                  <w:shd w:val="clear" w:color="auto" w:fill="auto"/>
                  <w:noWrap/>
                  <w:vAlign w:val="bottom"/>
                  <w:hideMark/>
                </w:tcPr>
                <w:p w14:paraId="7BCF8624" w14:textId="77777777" w:rsidR="0038698C" w:rsidRPr="008F2385" w:rsidRDefault="0038698C" w:rsidP="00914CD9">
                  <w:pPr>
                    <w:jc w:val="both"/>
                    <w:rPr>
                      <w:rFonts w:eastAsia="Times New Roman" w:cs="Arial"/>
                      <w:b/>
                      <w:bCs/>
                      <w:color w:val="000000"/>
                      <w:lang w:val="es-ES_tradnl"/>
                    </w:rPr>
                  </w:pPr>
                  <w:r w:rsidRPr="008F2385">
                    <w:rPr>
                      <w:rFonts w:eastAsia="Times New Roman" w:cs="Arial"/>
                      <w:b/>
                      <w:bCs/>
                      <w:color w:val="000000"/>
                      <w:lang w:val="es-ES_tradnl"/>
                    </w:rPr>
                    <w:t>Monto</w:t>
                  </w:r>
                </w:p>
              </w:tc>
            </w:tr>
            <w:tr w:rsidR="0038698C" w:rsidRPr="002D4144" w14:paraId="019DB0D0" w14:textId="77777777" w:rsidTr="0038698C">
              <w:trPr>
                <w:trHeight w:val="290"/>
              </w:trPr>
              <w:tc>
                <w:tcPr>
                  <w:tcW w:w="5220" w:type="dxa"/>
                  <w:tcBorders>
                    <w:top w:val="nil"/>
                    <w:left w:val="nil"/>
                    <w:bottom w:val="nil"/>
                    <w:right w:val="nil"/>
                  </w:tcBorders>
                  <w:shd w:val="clear" w:color="auto" w:fill="auto"/>
                  <w:noWrap/>
                  <w:vAlign w:val="bottom"/>
                  <w:hideMark/>
                </w:tcPr>
                <w:p w14:paraId="1077905B" w14:textId="77777777" w:rsidR="0038698C" w:rsidRPr="008F2385" w:rsidRDefault="0038698C" w:rsidP="00914CD9">
                  <w:pPr>
                    <w:jc w:val="both"/>
                    <w:rPr>
                      <w:rFonts w:eastAsia="Times New Roman" w:cs="Arial"/>
                      <w:color w:val="000000"/>
                      <w:lang w:val="es-ES_tradnl"/>
                    </w:rPr>
                  </w:pPr>
                  <w:r w:rsidRPr="008F2385">
                    <w:rPr>
                      <w:rFonts w:eastAsia="Times New Roman" w:cs="Arial"/>
                      <w:color w:val="000000"/>
                      <w:lang w:val="es-ES_tradnl"/>
                    </w:rPr>
                    <w:t xml:space="preserve">Gastos de alquiler de coches </w:t>
                  </w:r>
                </w:p>
              </w:tc>
              <w:tc>
                <w:tcPr>
                  <w:tcW w:w="1580" w:type="dxa"/>
                  <w:tcBorders>
                    <w:top w:val="nil"/>
                    <w:left w:val="nil"/>
                    <w:bottom w:val="nil"/>
                    <w:right w:val="nil"/>
                  </w:tcBorders>
                  <w:shd w:val="clear" w:color="auto" w:fill="auto"/>
                  <w:noWrap/>
                  <w:vAlign w:val="bottom"/>
                  <w:hideMark/>
                </w:tcPr>
                <w:p w14:paraId="55E9B3A5" w14:textId="77777777" w:rsidR="0038698C" w:rsidRPr="002D4144" w:rsidRDefault="0038698C" w:rsidP="00914CD9">
                  <w:pPr>
                    <w:jc w:val="both"/>
                    <w:rPr>
                      <w:rFonts w:eastAsia="Times New Roman" w:cs="Arial"/>
                      <w:color w:val="000000"/>
                    </w:rPr>
                  </w:pPr>
                  <w:r w:rsidRPr="00325F25">
                    <w:rPr>
                      <w:rFonts w:eastAsia="Times New Roman" w:cs="Arial"/>
                      <w:color w:val="000000"/>
                      <w:lang w:val="es-ES_tradnl"/>
                    </w:rPr>
                    <w:t xml:space="preserve">                   </w:t>
                  </w:r>
                  <w:r>
                    <w:rPr>
                      <w:rFonts w:eastAsia="Times New Roman" w:cs="Arial"/>
                      <w:color w:val="000000"/>
                    </w:rPr>
                    <w:t>360.</w:t>
                  </w:r>
                  <w:r w:rsidRPr="002D4144">
                    <w:rPr>
                      <w:rFonts w:eastAsia="Times New Roman" w:cs="Arial"/>
                      <w:color w:val="000000"/>
                    </w:rPr>
                    <w:t xml:space="preserve">000 </w:t>
                  </w:r>
                </w:p>
              </w:tc>
            </w:tr>
            <w:tr w:rsidR="0038698C" w:rsidRPr="002D4144" w14:paraId="3BA9A89F" w14:textId="77777777" w:rsidTr="0038698C">
              <w:trPr>
                <w:trHeight w:val="290"/>
              </w:trPr>
              <w:tc>
                <w:tcPr>
                  <w:tcW w:w="5220" w:type="dxa"/>
                  <w:tcBorders>
                    <w:top w:val="nil"/>
                    <w:left w:val="nil"/>
                    <w:bottom w:val="nil"/>
                    <w:right w:val="nil"/>
                  </w:tcBorders>
                  <w:shd w:val="clear" w:color="auto" w:fill="auto"/>
                  <w:noWrap/>
                  <w:vAlign w:val="bottom"/>
                  <w:hideMark/>
                </w:tcPr>
                <w:p w14:paraId="1994D64F" w14:textId="77777777" w:rsidR="0038698C" w:rsidRPr="008F2385" w:rsidRDefault="0038698C" w:rsidP="00914CD9">
                  <w:pPr>
                    <w:jc w:val="both"/>
                    <w:rPr>
                      <w:rFonts w:eastAsia="Times New Roman" w:cs="Arial"/>
                      <w:color w:val="000000"/>
                      <w:lang w:val="es-ES_tradnl"/>
                    </w:rPr>
                  </w:pPr>
                  <w:r w:rsidRPr="008F2385">
                    <w:rPr>
                      <w:rFonts w:eastAsia="Times New Roman" w:cs="Arial"/>
                      <w:color w:val="000000"/>
                      <w:lang w:val="es-ES_tradnl"/>
                    </w:rPr>
                    <w:t xml:space="preserve">Dietas </w:t>
                  </w:r>
                </w:p>
              </w:tc>
              <w:tc>
                <w:tcPr>
                  <w:tcW w:w="1580" w:type="dxa"/>
                  <w:tcBorders>
                    <w:top w:val="nil"/>
                    <w:left w:val="nil"/>
                    <w:bottom w:val="nil"/>
                    <w:right w:val="nil"/>
                  </w:tcBorders>
                  <w:shd w:val="clear" w:color="auto" w:fill="auto"/>
                  <w:noWrap/>
                  <w:vAlign w:val="bottom"/>
                  <w:hideMark/>
                </w:tcPr>
                <w:p w14:paraId="7DEE57C2" w14:textId="77777777" w:rsidR="0038698C" w:rsidRPr="002D4144" w:rsidRDefault="0038698C" w:rsidP="00914CD9">
                  <w:pPr>
                    <w:jc w:val="both"/>
                    <w:rPr>
                      <w:rFonts w:eastAsia="Times New Roman" w:cs="Arial"/>
                      <w:color w:val="000000"/>
                    </w:rPr>
                  </w:pPr>
                  <w:r>
                    <w:rPr>
                      <w:rFonts w:eastAsia="Times New Roman" w:cs="Arial"/>
                      <w:color w:val="000000"/>
                    </w:rPr>
                    <w:t xml:space="preserve">                     80.</w:t>
                  </w:r>
                  <w:r w:rsidRPr="002D4144">
                    <w:rPr>
                      <w:rFonts w:eastAsia="Times New Roman" w:cs="Arial"/>
                      <w:color w:val="000000"/>
                    </w:rPr>
                    <w:t xml:space="preserve">000 </w:t>
                  </w:r>
                </w:p>
              </w:tc>
            </w:tr>
            <w:tr w:rsidR="0038698C" w:rsidRPr="002D4144" w14:paraId="771B9F41" w14:textId="77777777" w:rsidTr="0038698C">
              <w:trPr>
                <w:trHeight w:val="300"/>
              </w:trPr>
              <w:tc>
                <w:tcPr>
                  <w:tcW w:w="5220" w:type="dxa"/>
                  <w:tcBorders>
                    <w:top w:val="nil"/>
                    <w:left w:val="nil"/>
                    <w:bottom w:val="nil"/>
                    <w:right w:val="nil"/>
                  </w:tcBorders>
                  <w:shd w:val="clear" w:color="auto" w:fill="auto"/>
                  <w:noWrap/>
                  <w:vAlign w:val="bottom"/>
                  <w:hideMark/>
                </w:tcPr>
                <w:p w14:paraId="76B6B6A6" w14:textId="77777777" w:rsidR="0038698C" w:rsidRPr="008F2385" w:rsidRDefault="0038698C" w:rsidP="00914CD9">
                  <w:pPr>
                    <w:jc w:val="both"/>
                    <w:rPr>
                      <w:rFonts w:eastAsia="Times New Roman" w:cs="Arial"/>
                      <w:color w:val="000000"/>
                      <w:lang w:val="es-ES_tradnl"/>
                    </w:rPr>
                  </w:pPr>
                  <w:r w:rsidRPr="008F2385">
                    <w:rPr>
                      <w:rFonts w:eastAsia="Times New Roman" w:cs="Arial"/>
                      <w:color w:val="000000"/>
                      <w:lang w:val="es-ES_tradnl"/>
                    </w:rPr>
                    <w:t>Otros</w:t>
                  </w:r>
                </w:p>
              </w:tc>
              <w:tc>
                <w:tcPr>
                  <w:tcW w:w="1580" w:type="dxa"/>
                  <w:tcBorders>
                    <w:top w:val="nil"/>
                    <w:left w:val="nil"/>
                    <w:bottom w:val="nil"/>
                    <w:right w:val="nil"/>
                  </w:tcBorders>
                  <w:shd w:val="clear" w:color="auto" w:fill="auto"/>
                  <w:noWrap/>
                  <w:vAlign w:val="bottom"/>
                  <w:hideMark/>
                </w:tcPr>
                <w:p w14:paraId="5A89E4CE" w14:textId="77777777" w:rsidR="0038698C" w:rsidRPr="002D4144" w:rsidRDefault="0038698C" w:rsidP="00914CD9">
                  <w:pPr>
                    <w:jc w:val="both"/>
                    <w:rPr>
                      <w:rFonts w:eastAsia="Times New Roman" w:cs="Arial"/>
                      <w:color w:val="000000"/>
                      <w:u w:val="single"/>
                    </w:rPr>
                  </w:pPr>
                  <w:r>
                    <w:rPr>
                      <w:rFonts w:eastAsia="Times New Roman" w:cs="Arial"/>
                      <w:color w:val="000000"/>
                      <w:u w:val="single"/>
                    </w:rPr>
                    <w:t xml:space="preserve">                   221.</w:t>
                  </w:r>
                  <w:r w:rsidRPr="002D4144">
                    <w:rPr>
                      <w:rFonts w:eastAsia="Times New Roman" w:cs="Arial"/>
                      <w:color w:val="000000"/>
                      <w:u w:val="single"/>
                    </w:rPr>
                    <w:t xml:space="preserve">650 </w:t>
                  </w:r>
                </w:p>
              </w:tc>
            </w:tr>
            <w:tr w:rsidR="0038698C" w:rsidRPr="002D4144" w14:paraId="70289514" w14:textId="77777777" w:rsidTr="0038698C">
              <w:trPr>
                <w:trHeight w:val="370"/>
              </w:trPr>
              <w:tc>
                <w:tcPr>
                  <w:tcW w:w="5220" w:type="dxa"/>
                  <w:tcBorders>
                    <w:top w:val="nil"/>
                    <w:left w:val="nil"/>
                    <w:bottom w:val="nil"/>
                    <w:right w:val="nil"/>
                  </w:tcBorders>
                  <w:shd w:val="clear" w:color="auto" w:fill="auto"/>
                  <w:noWrap/>
                  <w:vAlign w:val="bottom"/>
                  <w:hideMark/>
                </w:tcPr>
                <w:p w14:paraId="79B97A72" w14:textId="77777777" w:rsidR="0038698C" w:rsidRPr="002D4144" w:rsidRDefault="0038698C" w:rsidP="00914CD9">
                  <w:pPr>
                    <w:jc w:val="both"/>
                    <w:rPr>
                      <w:rFonts w:eastAsia="Times New Roman" w:cs="Arial"/>
                      <w:color w:val="000000"/>
                      <w:u w:val="single"/>
                    </w:rPr>
                  </w:pPr>
                </w:p>
              </w:tc>
              <w:tc>
                <w:tcPr>
                  <w:tcW w:w="1580" w:type="dxa"/>
                  <w:tcBorders>
                    <w:top w:val="nil"/>
                    <w:left w:val="nil"/>
                    <w:bottom w:val="nil"/>
                    <w:right w:val="nil"/>
                  </w:tcBorders>
                  <w:shd w:val="clear" w:color="auto" w:fill="auto"/>
                  <w:noWrap/>
                  <w:vAlign w:val="bottom"/>
                  <w:hideMark/>
                </w:tcPr>
                <w:p w14:paraId="5B9B4EBD" w14:textId="77777777" w:rsidR="0038698C" w:rsidRPr="002D4144" w:rsidRDefault="0038698C" w:rsidP="00914CD9">
                  <w:pPr>
                    <w:jc w:val="both"/>
                    <w:rPr>
                      <w:rFonts w:eastAsia="Times New Roman" w:cs="Arial"/>
                      <w:b/>
                      <w:bCs/>
                      <w:color w:val="000000"/>
                    </w:rPr>
                  </w:pPr>
                  <w:r>
                    <w:rPr>
                      <w:rFonts w:eastAsia="Times New Roman" w:cs="Arial"/>
                      <w:b/>
                      <w:bCs/>
                      <w:color w:val="000000"/>
                    </w:rPr>
                    <w:t xml:space="preserve">            661.</w:t>
                  </w:r>
                  <w:r w:rsidRPr="002D4144">
                    <w:rPr>
                      <w:rFonts w:eastAsia="Times New Roman" w:cs="Arial"/>
                      <w:b/>
                      <w:bCs/>
                      <w:color w:val="000000"/>
                    </w:rPr>
                    <w:t xml:space="preserve">650 </w:t>
                  </w:r>
                </w:p>
              </w:tc>
            </w:tr>
            <w:tr w:rsidR="0038698C" w:rsidRPr="002D4144" w14:paraId="6E5F3A20" w14:textId="77777777" w:rsidTr="0038698C">
              <w:trPr>
                <w:trHeight w:val="290"/>
              </w:trPr>
              <w:tc>
                <w:tcPr>
                  <w:tcW w:w="5220" w:type="dxa"/>
                  <w:tcBorders>
                    <w:top w:val="nil"/>
                    <w:left w:val="nil"/>
                    <w:bottom w:val="nil"/>
                    <w:right w:val="nil"/>
                  </w:tcBorders>
                  <w:shd w:val="clear" w:color="auto" w:fill="auto"/>
                  <w:noWrap/>
                  <w:vAlign w:val="bottom"/>
                  <w:hideMark/>
                </w:tcPr>
                <w:p w14:paraId="5FEC1A19" w14:textId="77777777" w:rsidR="0038698C" w:rsidRPr="002D4144" w:rsidRDefault="0038698C" w:rsidP="00914CD9">
                  <w:pPr>
                    <w:jc w:val="both"/>
                    <w:rPr>
                      <w:rFonts w:eastAsia="Times New Roman" w:cs="Arial"/>
                      <w:b/>
                      <w:bCs/>
                      <w:color w:val="000000"/>
                    </w:rPr>
                  </w:pPr>
                </w:p>
              </w:tc>
              <w:tc>
                <w:tcPr>
                  <w:tcW w:w="1580" w:type="dxa"/>
                  <w:tcBorders>
                    <w:top w:val="nil"/>
                    <w:left w:val="nil"/>
                    <w:bottom w:val="nil"/>
                    <w:right w:val="nil"/>
                  </w:tcBorders>
                  <w:shd w:val="clear" w:color="auto" w:fill="auto"/>
                  <w:noWrap/>
                  <w:vAlign w:val="bottom"/>
                  <w:hideMark/>
                </w:tcPr>
                <w:p w14:paraId="7FB21868" w14:textId="77777777" w:rsidR="0038698C" w:rsidRPr="002D4144" w:rsidRDefault="0038698C" w:rsidP="00914CD9">
                  <w:pPr>
                    <w:jc w:val="both"/>
                    <w:rPr>
                      <w:rFonts w:eastAsia="Times New Roman" w:cs="Arial"/>
                      <w:color w:val="000000"/>
                    </w:rPr>
                  </w:pPr>
                  <w:r w:rsidRPr="002D4144">
                    <w:rPr>
                      <w:rFonts w:eastAsia="Times New Roman" w:cs="Arial"/>
                      <w:color w:val="000000"/>
                    </w:rPr>
                    <w:t>========</w:t>
                  </w:r>
                </w:p>
              </w:tc>
            </w:tr>
          </w:tbl>
          <w:p w14:paraId="5645D0A4" w14:textId="77777777" w:rsidR="0038698C" w:rsidRPr="002D4144" w:rsidRDefault="0038698C" w:rsidP="00914CD9">
            <w:pPr>
              <w:jc w:val="both"/>
              <w:rPr>
                <w:rFonts w:eastAsia="Times New Roman" w:cs="Arial"/>
              </w:rPr>
            </w:pPr>
          </w:p>
        </w:tc>
        <w:tc>
          <w:tcPr>
            <w:tcW w:w="1160" w:type="dxa"/>
            <w:tcBorders>
              <w:top w:val="nil"/>
              <w:left w:val="nil"/>
              <w:bottom w:val="nil"/>
              <w:right w:val="nil"/>
            </w:tcBorders>
            <w:shd w:val="clear" w:color="auto" w:fill="auto"/>
            <w:noWrap/>
            <w:vAlign w:val="bottom"/>
          </w:tcPr>
          <w:p w14:paraId="4F61F686" w14:textId="77777777" w:rsidR="0038698C" w:rsidRPr="002D4144" w:rsidRDefault="0038698C" w:rsidP="00914CD9">
            <w:pPr>
              <w:jc w:val="both"/>
              <w:rPr>
                <w:rFonts w:eastAsia="Times New Roman" w:cs="Arial"/>
                <w:b/>
                <w:bCs/>
                <w:color w:val="000000"/>
              </w:rPr>
            </w:pPr>
          </w:p>
        </w:tc>
      </w:tr>
      <w:tr w:rsidR="0038698C" w:rsidRPr="002D4144" w14:paraId="655FB9F9" w14:textId="77777777" w:rsidTr="0038698C">
        <w:trPr>
          <w:trHeight w:val="290"/>
        </w:trPr>
        <w:tc>
          <w:tcPr>
            <w:tcW w:w="7016" w:type="dxa"/>
            <w:tcBorders>
              <w:top w:val="nil"/>
              <w:left w:val="nil"/>
              <w:bottom w:val="nil"/>
              <w:right w:val="nil"/>
            </w:tcBorders>
            <w:shd w:val="clear" w:color="auto" w:fill="auto"/>
            <w:noWrap/>
            <w:vAlign w:val="bottom"/>
          </w:tcPr>
          <w:p w14:paraId="0A6376F3" w14:textId="77777777" w:rsidR="0038698C" w:rsidRPr="002D4144" w:rsidRDefault="0038698C" w:rsidP="00914CD9">
            <w:pPr>
              <w:jc w:val="both"/>
              <w:rPr>
                <w:rFonts w:eastAsia="Times New Roman" w:cs="Arial"/>
                <w:color w:val="000000"/>
              </w:rPr>
            </w:pPr>
          </w:p>
        </w:tc>
        <w:tc>
          <w:tcPr>
            <w:tcW w:w="1160" w:type="dxa"/>
            <w:tcBorders>
              <w:top w:val="nil"/>
              <w:left w:val="nil"/>
              <w:bottom w:val="nil"/>
              <w:right w:val="nil"/>
            </w:tcBorders>
            <w:shd w:val="clear" w:color="auto" w:fill="auto"/>
            <w:noWrap/>
            <w:vAlign w:val="bottom"/>
          </w:tcPr>
          <w:p w14:paraId="24D6F41D" w14:textId="77777777" w:rsidR="0038698C" w:rsidRPr="002D4144" w:rsidRDefault="0038698C" w:rsidP="00914CD9">
            <w:pPr>
              <w:jc w:val="both"/>
              <w:rPr>
                <w:rFonts w:eastAsia="Times New Roman" w:cs="Arial"/>
                <w:color w:val="000000"/>
              </w:rPr>
            </w:pPr>
          </w:p>
        </w:tc>
      </w:tr>
    </w:tbl>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1505"/>
      </w:tblGrid>
      <w:tr w:rsidR="0038698C" w:rsidRPr="008F2385" w14:paraId="7FACAEA0" w14:textId="77777777" w:rsidTr="0038698C">
        <w:trPr>
          <w:trHeight w:val="613"/>
        </w:trPr>
        <w:tc>
          <w:tcPr>
            <w:tcW w:w="5020" w:type="dxa"/>
            <w:vMerge w:val="restart"/>
            <w:hideMark/>
          </w:tcPr>
          <w:p w14:paraId="246E8390" w14:textId="77777777" w:rsidR="0038698C" w:rsidRPr="004B1731" w:rsidRDefault="0038698C" w:rsidP="00914CD9">
            <w:pPr>
              <w:spacing w:after="120" w:line="240" w:lineRule="atLeast"/>
              <w:jc w:val="both"/>
              <w:rPr>
                <w:rFonts w:eastAsia="Calibri" w:cs="Arial"/>
                <w:b/>
                <w:bCs/>
                <w:sz w:val="24"/>
                <w:szCs w:val="24"/>
                <w:lang w:val="es-ES_tradnl"/>
              </w:rPr>
            </w:pPr>
            <w:r w:rsidRPr="004B1731">
              <w:rPr>
                <w:rFonts w:eastAsia="Calibri" w:cs="Arial"/>
                <w:b/>
                <w:bCs/>
                <w:sz w:val="24"/>
                <w:szCs w:val="24"/>
                <w:lang w:val="es-ES_tradnl"/>
              </w:rPr>
              <w:t xml:space="preserve">Nota 8: Saldos de caja </w:t>
            </w:r>
          </w:p>
        </w:tc>
        <w:tc>
          <w:tcPr>
            <w:tcW w:w="1505" w:type="dxa"/>
            <w:vMerge w:val="restart"/>
            <w:hideMark/>
          </w:tcPr>
          <w:p w14:paraId="3EB9F9B0" w14:textId="77777777" w:rsidR="0038698C" w:rsidRPr="008F2385" w:rsidRDefault="0038698C" w:rsidP="00914CD9">
            <w:pPr>
              <w:spacing w:after="120" w:line="240" w:lineRule="atLeast"/>
              <w:jc w:val="both"/>
              <w:rPr>
                <w:rFonts w:eastAsia="Calibri" w:cs="Arial"/>
                <w:b/>
                <w:bCs/>
                <w:lang w:val="es-ES_tradnl"/>
              </w:rPr>
            </w:pPr>
            <w:r w:rsidRPr="008F2385">
              <w:rPr>
                <w:rFonts w:eastAsia="Calibri" w:cs="Arial"/>
                <w:b/>
                <w:bCs/>
                <w:lang w:val="es-ES_tradnl"/>
              </w:rPr>
              <w:t>Monto en US$</w:t>
            </w:r>
          </w:p>
        </w:tc>
      </w:tr>
      <w:tr w:rsidR="0038698C" w:rsidRPr="002D4144" w14:paraId="18847D16" w14:textId="77777777" w:rsidTr="0038698C">
        <w:trPr>
          <w:trHeight w:val="613"/>
        </w:trPr>
        <w:tc>
          <w:tcPr>
            <w:tcW w:w="5020" w:type="dxa"/>
            <w:vMerge/>
            <w:hideMark/>
          </w:tcPr>
          <w:p w14:paraId="1EB41A3A" w14:textId="77777777" w:rsidR="0038698C" w:rsidRPr="002D4144" w:rsidRDefault="0038698C" w:rsidP="00914CD9">
            <w:pPr>
              <w:spacing w:after="120" w:line="240" w:lineRule="atLeast"/>
              <w:jc w:val="both"/>
              <w:rPr>
                <w:rFonts w:eastAsia="Calibri" w:cs="Arial"/>
                <w:b/>
                <w:bCs/>
              </w:rPr>
            </w:pPr>
          </w:p>
        </w:tc>
        <w:tc>
          <w:tcPr>
            <w:tcW w:w="1505" w:type="dxa"/>
            <w:vMerge/>
            <w:hideMark/>
          </w:tcPr>
          <w:p w14:paraId="7E5EDE56" w14:textId="77777777" w:rsidR="0038698C" w:rsidRPr="002D4144" w:rsidRDefault="0038698C" w:rsidP="00914CD9">
            <w:pPr>
              <w:spacing w:after="120" w:line="240" w:lineRule="atLeast"/>
              <w:jc w:val="both"/>
              <w:rPr>
                <w:rFonts w:eastAsia="Calibri" w:cs="Arial"/>
                <w:b/>
                <w:bCs/>
              </w:rPr>
            </w:pPr>
          </w:p>
        </w:tc>
      </w:tr>
      <w:tr w:rsidR="0038698C" w:rsidRPr="002D4144" w14:paraId="39781D27" w14:textId="77777777" w:rsidTr="0038698C">
        <w:trPr>
          <w:trHeight w:val="300"/>
        </w:trPr>
        <w:tc>
          <w:tcPr>
            <w:tcW w:w="5020" w:type="dxa"/>
            <w:hideMark/>
          </w:tcPr>
          <w:p w14:paraId="2DBF6193" w14:textId="77777777" w:rsidR="0038698C" w:rsidRPr="00CA080D" w:rsidRDefault="0038698C" w:rsidP="00914CD9">
            <w:pPr>
              <w:spacing w:after="120" w:line="240" w:lineRule="atLeast"/>
              <w:jc w:val="both"/>
              <w:rPr>
                <w:rFonts w:eastAsia="Calibri" w:cs="Arial"/>
                <w:lang w:val="es-ES_tradnl"/>
              </w:rPr>
            </w:pPr>
            <w:r>
              <w:rPr>
                <w:rFonts w:eastAsia="Calibri" w:cs="Arial"/>
                <w:lang w:val="es-ES_tradnl"/>
              </w:rPr>
              <w:t xml:space="preserve">Saldo bancario en el </w:t>
            </w:r>
            <w:r w:rsidRPr="00CA080D">
              <w:rPr>
                <w:rFonts w:eastAsia="Calibri" w:cs="Arial"/>
                <w:lang w:val="es-ES_tradnl"/>
              </w:rPr>
              <w:t>Ecobank Ficticia</w:t>
            </w:r>
          </w:p>
        </w:tc>
        <w:tc>
          <w:tcPr>
            <w:tcW w:w="1505" w:type="dxa"/>
            <w:hideMark/>
          </w:tcPr>
          <w:p w14:paraId="220F212A" w14:textId="77777777" w:rsidR="0038698C" w:rsidRPr="002D4144" w:rsidRDefault="0038698C" w:rsidP="00914CD9">
            <w:pPr>
              <w:spacing w:after="120" w:line="240" w:lineRule="atLeast"/>
              <w:jc w:val="both"/>
              <w:rPr>
                <w:rFonts w:eastAsia="Calibri" w:cs="Arial"/>
              </w:rPr>
            </w:pPr>
            <w:r>
              <w:rPr>
                <w:rFonts w:eastAsia="Calibri" w:cs="Arial"/>
              </w:rPr>
              <w:t>2,566.</w:t>
            </w:r>
            <w:r w:rsidRPr="002D4144">
              <w:rPr>
                <w:rFonts w:eastAsia="Calibri" w:cs="Arial"/>
              </w:rPr>
              <w:t>852</w:t>
            </w:r>
          </w:p>
        </w:tc>
      </w:tr>
      <w:tr w:rsidR="0038698C" w:rsidRPr="002D4144" w14:paraId="3D17C0B5" w14:textId="77777777" w:rsidTr="0038698C">
        <w:trPr>
          <w:trHeight w:val="300"/>
        </w:trPr>
        <w:tc>
          <w:tcPr>
            <w:tcW w:w="5020" w:type="dxa"/>
            <w:hideMark/>
          </w:tcPr>
          <w:p w14:paraId="5003334A" w14:textId="77777777" w:rsidR="0038698C" w:rsidRPr="00CA080D" w:rsidRDefault="0038698C" w:rsidP="00914CD9">
            <w:pPr>
              <w:spacing w:after="120" w:line="240" w:lineRule="atLeast"/>
              <w:jc w:val="both"/>
              <w:rPr>
                <w:rFonts w:eastAsia="Calibri" w:cs="Arial"/>
                <w:lang w:val="es-ES_tradnl"/>
              </w:rPr>
            </w:pPr>
            <w:r w:rsidRPr="00CA080D">
              <w:rPr>
                <w:rFonts w:eastAsia="Calibri" w:cs="Arial"/>
                <w:lang w:val="es-ES_tradnl"/>
              </w:rPr>
              <w:t>Saldo bancario en el Citibank de Nueva York</w:t>
            </w:r>
          </w:p>
        </w:tc>
        <w:tc>
          <w:tcPr>
            <w:tcW w:w="1505" w:type="dxa"/>
            <w:hideMark/>
          </w:tcPr>
          <w:p w14:paraId="25D37AB9" w14:textId="77777777" w:rsidR="0038698C" w:rsidRPr="002D4144" w:rsidRDefault="0038698C" w:rsidP="00914CD9">
            <w:pPr>
              <w:spacing w:after="120" w:line="240" w:lineRule="atLeast"/>
              <w:jc w:val="both"/>
              <w:rPr>
                <w:rFonts w:eastAsia="Calibri" w:cs="Arial"/>
              </w:rPr>
            </w:pPr>
            <w:r>
              <w:rPr>
                <w:rFonts w:eastAsia="Calibri" w:cs="Arial"/>
              </w:rPr>
              <w:t>2.</w:t>
            </w:r>
            <w:r w:rsidRPr="002D4144">
              <w:rPr>
                <w:rFonts w:eastAsia="Calibri" w:cs="Arial"/>
              </w:rPr>
              <w:t>89</w:t>
            </w:r>
            <w:r>
              <w:rPr>
                <w:rFonts w:eastAsia="Calibri" w:cs="Arial"/>
              </w:rPr>
              <w:t>9.</w:t>
            </w:r>
            <w:r w:rsidRPr="002D4144">
              <w:rPr>
                <w:rFonts w:eastAsia="Calibri" w:cs="Arial"/>
              </w:rPr>
              <w:t>000</w:t>
            </w:r>
          </w:p>
        </w:tc>
      </w:tr>
      <w:tr w:rsidR="0038698C" w:rsidRPr="002D4144" w14:paraId="4BE6227E" w14:textId="77777777" w:rsidTr="0038698C">
        <w:trPr>
          <w:trHeight w:val="300"/>
        </w:trPr>
        <w:tc>
          <w:tcPr>
            <w:tcW w:w="5020" w:type="dxa"/>
            <w:hideMark/>
          </w:tcPr>
          <w:p w14:paraId="5348ADC1" w14:textId="77777777" w:rsidR="0038698C" w:rsidRPr="00CA080D" w:rsidRDefault="0038698C" w:rsidP="00914CD9">
            <w:pPr>
              <w:spacing w:after="120" w:line="240" w:lineRule="atLeast"/>
              <w:jc w:val="both"/>
              <w:rPr>
                <w:rFonts w:eastAsia="Calibri" w:cs="Arial"/>
                <w:lang w:val="es-ES_tradnl"/>
              </w:rPr>
            </w:pPr>
            <w:r w:rsidRPr="00CA080D">
              <w:rPr>
                <w:rFonts w:eastAsia="Calibri" w:cs="Arial"/>
                <w:lang w:val="es-ES_tradnl"/>
              </w:rPr>
              <w:t>Efectivo</w:t>
            </w:r>
          </w:p>
        </w:tc>
        <w:tc>
          <w:tcPr>
            <w:tcW w:w="1505" w:type="dxa"/>
            <w:hideMark/>
          </w:tcPr>
          <w:p w14:paraId="263EA253" w14:textId="77777777" w:rsidR="0038698C" w:rsidRPr="002D4144" w:rsidRDefault="0038698C" w:rsidP="00914CD9">
            <w:pPr>
              <w:spacing w:after="120" w:line="240" w:lineRule="atLeast"/>
              <w:jc w:val="both"/>
              <w:rPr>
                <w:rFonts w:eastAsia="Calibri" w:cs="Arial"/>
              </w:rPr>
            </w:pPr>
            <w:r w:rsidRPr="002D4144">
              <w:rPr>
                <w:rFonts w:eastAsia="Calibri" w:cs="Arial"/>
              </w:rPr>
              <w:t>241</w:t>
            </w:r>
          </w:p>
        </w:tc>
      </w:tr>
      <w:tr w:rsidR="0038698C" w:rsidRPr="002D4144" w14:paraId="6E2E1B81" w14:textId="77777777" w:rsidTr="0038698C">
        <w:trPr>
          <w:trHeight w:val="300"/>
        </w:trPr>
        <w:tc>
          <w:tcPr>
            <w:tcW w:w="5020" w:type="dxa"/>
            <w:hideMark/>
          </w:tcPr>
          <w:p w14:paraId="56C61B88" w14:textId="77777777" w:rsidR="0038698C" w:rsidRPr="00CA080D" w:rsidRDefault="0038698C" w:rsidP="00914CD9">
            <w:pPr>
              <w:spacing w:after="120" w:line="240" w:lineRule="atLeast"/>
              <w:jc w:val="both"/>
              <w:rPr>
                <w:rFonts w:eastAsia="Calibri" w:cs="Arial"/>
                <w:lang w:val="es-ES_tradnl"/>
              </w:rPr>
            </w:pPr>
            <w:r w:rsidRPr="00CA080D">
              <w:rPr>
                <w:rFonts w:eastAsia="Calibri" w:cs="Arial"/>
                <w:lang w:val="es-ES_tradnl"/>
              </w:rPr>
              <w:t xml:space="preserve">Fuentes netas de Fondos de subvención </w:t>
            </w:r>
          </w:p>
        </w:tc>
        <w:tc>
          <w:tcPr>
            <w:tcW w:w="1505" w:type="dxa"/>
            <w:hideMark/>
          </w:tcPr>
          <w:p w14:paraId="091B0F7E" w14:textId="77777777" w:rsidR="0038698C" w:rsidRPr="002D4144" w:rsidRDefault="0038698C" w:rsidP="00914CD9">
            <w:pPr>
              <w:spacing w:after="120" w:line="240" w:lineRule="atLeast"/>
              <w:jc w:val="both"/>
              <w:rPr>
                <w:rFonts w:eastAsia="Calibri" w:cs="Arial"/>
                <w:b/>
                <w:bCs/>
              </w:rPr>
            </w:pPr>
            <w:r>
              <w:rPr>
                <w:rFonts w:eastAsia="Calibri" w:cs="Arial"/>
                <w:b/>
                <w:bCs/>
              </w:rPr>
              <w:t>5.466.</w:t>
            </w:r>
            <w:r w:rsidRPr="002D4144">
              <w:rPr>
                <w:rFonts w:eastAsia="Calibri" w:cs="Arial"/>
                <w:b/>
                <w:bCs/>
              </w:rPr>
              <w:t>093</w:t>
            </w:r>
          </w:p>
        </w:tc>
      </w:tr>
      <w:tr w:rsidR="0038698C" w:rsidRPr="002D4144" w14:paraId="0FE4C8E9" w14:textId="77777777" w:rsidTr="0038698C">
        <w:trPr>
          <w:trHeight w:val="300"/>
        </w:trPr>
        <w:tc>
          <w:tcPr>
            <w:tcW w:w="5020" w:type="dxa"/>
            <w:hideMark/>
          </w:tcPr>
          <w:p w14:paraId="79E20FAF" w14:textId="77777777" w:rsidR="0038698C" w:rsidRPr="002D4144" w:rsidRDefault="0038698C" w:rsidP="00914CD9">
            <w:pPr>
              <w:spacing w:after="120" w:line="240" w:lineRule="atLeast"/>
              <w:jc w:val="both"/>
              <w:rPr>
                <w:rFonts w:eastAsia="Calibri" w:cs="Arial"/>
                <w:b/>
                <w:bCs/>
              </w:rPr>
            </w:pPr>
          </w:p>
        </w:tc>
        <w:tc>
          <w:tcPr>
            <w:tcW w:w="1505" w:type="dxa"/>
            <w:hideMark/>
          </w:tcPr>
          <w:p w14:paraId="70809519" w14:textId="77777777" w:rsidR="0038698C" w:rsidRPr="002D4144" w:rsidRDefault="0038698C" w:rsidP="00914CD9">
            <w:pPr>
              <w:spacing w:after="120" w:line="240" w:lineRule="atLeast"/>
              <w:jc w:val="both"/>
              <w:rPr>
                <w:rFonts w:eastAsia="Calibri" w:cs="Arial"/>
              </w:rPr>
            </w:pPr>
            <w:r w:rsidRPr="002D4144">
              <w:rPr>
                <w:rFonts w:eastAsia="Calibri" w:cs="Arial"/>
              </w:rPr>
              <w:t>=========</w:t>
            </w:r>
          </w:p>
        </w:tc>
      </w:tr>
      <w:tr w:rsidR="0038698C" w:rsidRPr="002D4144" w14:paraId="264E4FA8" w14:textId="77777777" w:rsidTr="0038698C">
        <w:trPr>
          <w:trHeight w:val="302"/>
        </w:trPr>
        <w:tc>
          <w:tcPr>
            <w:tcW w:w="5020" w:type="dxa"/>
            <w:noWrap/>
            <w:hideMark/>
          </w:tcPr>
          <w:p w14:paraId="56FC4A9D" w14:textId="77777777" w:rsidR="0038698C" w:rsidRPr="002D4144" w:rsidRDefault="0038698C" w:rsidP="00914CD9">
            <w:pPr>
              <w:spacing w:after="120" w:line="240" w:lineRule="atLeast"/>
              <w:jc w:val="both"/>
              <w:rPr>
                <w:rFonts w:eastAsia="Calibri" w:cs="Arial"/>
              </w:rPr>
            </w:pPr>
          </w:p>
        </w:tc>
        <w:tc>
          <w:tcPr>
            <w:tcW w:w="1505" w:type="dxa"/>
            <w:noWrap/>
            <w:hideMark/>
          </w:tcPr>
          <w:p w14:paraId="27C75D2D" w14:textId="77777777" w:rsidR="0038698C" w:rsidRPr="002D4144" w:rsidRDefault="0038698C" w:rsidP="00914CD9">
            <w:pPr>
              <w:spacing w:after="120" w:line="240" w:lineRule="atLeast"/>
              <w:jc w:val="both"/>
              <w:rPr>
                <w:rFonts w:eastAsia="Calibri" w:cs="Arial"/>
              </w:rPr>
            </w:pPr>
          </w:p>
        </w:tc>
      </w:tr>
    </w:tbl>
    <w:p w14:paraId="25529E60" w14:textId="77777777" w:rsidR="0038698C" w:rsidRPr="004B1731" w:rsidRDefault="0038698C" w:rsidP="00914CD9">
      <w:pPr>
        <w:jc w:val="both"/>
        <w:rPr>
          <w:rFonts w:eastAsia="Times New Roman" w:cs="Arial"/>
          <w:b/>
          <w:bCs/>
          <w:color w:val="000000"/>
          <w:lang w:val="es-ES_tradnl"/>
        </w:rPr>
      </w:pPr>
      <w:r w:rsidRPr="004B1731">
        <w:rPr>
          <w:rFonts w:eastAsia="Times New Roman" w:cs="Arial"/>
          <w:b/>
          <w:bCs/>
          <w:color w:val="000000"/>
          <w:lang w:val="es-ES_tradnl"/>
        </w:rPr>
        <w:t xml:space="preserve">Nota 9: Calendario de compromisos complementario a 31.12. 2019 </w:t>
      </w:r>
    </w:p>
    <w:p w14:paraId="6D928125" w14:textId="77777777" w:rsidR="0038698C" w:rsidRPr="002D4144" w:rsidRDefault="0038698C" w:rsidP="00914CD9">
      <w:pPr>
        <w:jc w:val="both"/>
        <w:rPr>
          <w:rFonts w:eastAsia="Calibri" w:cs="Arial"/>
        </w:rPr>
      </w:pPr>
    </w:p>
    <w:tbl>
      <w:tblPr>
        <w:tblW w:w="8280" w:type="dxa"/>
        <w:tblInd w:w="-23" w:type="dxa"/>
        <w:tblLook w:val="04A0" w:firstRow="1" w:lastRow="0" w:firstColumn="1" w:lastColumn="0" w:noHBand="0" w:noVBand="1"/>
      </w:tblPr>
      <w:tblGrid>
        <w:gridCol w:w="6120"/>
        <w:gridCol w:w="2160"/>
      </w:tblGrid>
      <w:tr w:rsidR="0038698C" w:rsidRPr="002D4144" w14:paraId="7477C613" w14:textId="77777777" w:rsidTr="0038698C">
        <w:trPr>
          <w:trHeight w:val="300"/>
        </w:trPr>
        <w:tc>
          <w:tcPr>
            <w:tcW w:w="6120"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28715218" w14:textId="77777777" w:rsidR="0038698C" w:rsidRPr="0004524D" w:rsidRDefault="0038698C" w:rsidP="00914CD9">
            <w:pPr>
              <w:jc w:val="both"/>
              <w:rPr>
                <w:rFonts w:eastAsia="Times New Roman" w:cs="Arial"/>
                <w:color w:val="000000"/>
                <w:sz w:val="18"/>
                <w:szCs w:val="18"/>
                <w:lang w:val="es-ES_tradnl"/>
              </w:rPr>
            </w:pPr>
            <w:r w:rsidRPr="0004524D">
              <w:rPr>
                <w:rFonts w:eastAsia="Times New Roman" w:cs="Arial"/>
                <w:color w:val="000000"/>
                <w:sz w:val="18"/>
                <w:szCs w:val="18"/>
                <w:lang w:val="es-ES_tradnl"/>
              </w:rPr>
              <w:t>Compromisos a 01.01.2019</w:t>
            </w:r>
          </w:p>
        </w:tc>
        <w:tc>
          <w:tcPr>
            <w:tcW w:w="2160" w:type="dxa"/>
            <w:tcBorders>
              <w:top w:val="double" w:sz="6" w:space="0" w:color="auto"/>
              <w:left w:val="nil"/>
              <w:bottom w:val="single" w:sz="4" w:space="0" w:color="auto"/>
              <w:right w:val="single" w:sz="4" w:space="0" w:color="auto"/>
            </w:tcBorders>
            <w:shd w:val="clear" w:color="auto" w:fill="auto"/>
            <w:vAlign w:val="center"/>
            <w:hideMark/>
          </w:tcPr>
          <w:p w14:paraId="1E671AB1" w14:textId="77777777" w:rsidR="0038698C" w:rsidRPr="002D4144" w:rsidRDefault="0038698C" w:rsidP="00914CD9">
            <w:pPr>
              <w:jc w:val="both"/>
              <w:rPr>
                <w:rFonts w:eastAsia="Times New Roman" w:cs="Arial"/>
                <w:color w:val="000000"/>
                <w:sz w:val="18"/>
                <w:szCs w:val="18"/>
              </w:rPr>
            </w:pPr>
            <w:r>
              <w:rPr>
                <w:rFonts w:eastAsia="Times New Roman" w:cs="Arial"/>
                <w:color w:val="000000"/>
                <w:sz w:val="18"/>
                <w:szCs w:val="18"/>
              </w:rPr>
              <w:t xml:space="preserve">            1.235.</w:t>
            </w:r>
            <w:r w:rsidRPr="002D4144">
              <w:rPr>
                <w:rFonts w:eastAsia="Times New Roman" w:cs="Arial"/>
                <w:color w:val="000000"/>
                <w:sz w:val="18"/>
                <w:szCs w:val="18"/>
              </w:rPr>
              <w:t xml:space="preserve">670 </w:t>
            </w:r>
          </w:p>
        </w:tc>
      </w:tr>
      <w:tr w:rsidR="0038698C" w:rsidRPr="002D4144" w14:paraId="0960E588" w14:textId="77777777" w:rsidTr="0038698C">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31F6B593" w14:textId="77777777" w:rsidR="0038698C" w:rsidRPr="0004524D" w:rsidRDefault="0038698C" w:rsidP="00914CD9">
            <w:pPr>
              <w:jc w:val="both"/>
              <w:rPr>
                <w:rFonts w:eastAsia="Times New Roman" w:cs="Arial"/>
                <w:color w:val="000000"/>
                <w:sz w:val="18"/>
                <w:szCs w:val="18"/>
                <w:lang w:val="es-ES_tradnl"/>
              </w:rPr>
            </w:pPr>
            <w:r w:rsidRPr="0004524D">
              <w:rPr>
                <w:rFonts w:eastAsia="Times New Roman" w:cs="Arial"/>
                <w:color w:val="000000"/>
                <w:sz w:val="18"/>
                <w:szCs w:val="18"/>
                <w:lang w:val="es-ES_tradnl"/>
              </w:rPr>
              <w:t>Pagados en el año en curso (2019)</w:t>
            </w:r>
          </w:p>
        </w:tc>
        <w:tc>
          <w:tcPr>
            <w:tcW w:w="2160" w:type="dxa"/>
            <w:tcBorders>
              <w:top w:val="nil"/>
              <w:left w:val="nil"/>
              <w:bottom w:val="single" w:sz="4" w:space="0" w:color="auto"/>
              <w:right w:val="single" w:sz="4" w:space="0" w:color="auto"/>
            </w:tcBorders>
            <w:shd w:val="clear" w:color="auto" w:fill="auto"/>
            <w:vAlign w:val="center"/>
            <w:hideMark/>
          </w:tcPr>
          <w:p w14:paraId="60A086D1" w14:textId="77777777" w:rsidR="0038698C" w:rsidRPr="002D4144" w:rsidRDefault="0038698C" w:rsidP="00914CD9">
            <w:pPr>
              <w:jc w:val="both"/>
              <w:rPr>
                <w:rFonts w:eastAsia="Times New Roman" w:cs="Arial"/>
                <w:color w:val="000000"/>
                <w:sz w:val="18"/>
                <w:szCs w:val="18"/>
                <w:u w:val="single"/>
              </w:rPr>
            </w:pPr>
            <w:r w:rsidRPr="00325F25">
              <w:rPr>
                <w:rFonts w:eastAsia="Times New Roman" w:cs="Arial"/>
                <w:color w:val="000000"/>
                <w:sz w:val="18"/>
                <w:szCs w:val="18"/>
                <w:u w:val="single"/>
                <w:lang w:val="es-ES_tradnl"/>
              </w:rPr>
              <w:t xml:space="preserve">            </w:t>
            </w:r>
            <w:r>
              <w:rPr>
                <w:rFonts w:eastAsia="Times New Roman" w:cs="Arial"/>
                <w:color w:val="000000"/>
                <w:sz w:val="18"/>
                <w:szCs w:val="18"/>
                <w:u w:val="single"/>
              </w:rPr>
              <w:t>(989.</w:t>
            </w:r>
            <w:r w:rsidRPr="002D4144">
              <w:rPr>
                <w:rFonts w:eastAsia="Times New Roman" w:cs="Arial"/>
                <w:color w:val="000000"/>
                <w:sz w:val="18"/>
                <w:szCs w:val="18"/>
                <w:u w:val="single"/>
              </w:rPr>
              <w:t>050)</w:t>
            </w:r>
          </w:p>
        </w:tc>
      </w:tr>
      <w:tr w:rsidR="0038698C" w:rsidRPr="002D4144" w14:paraId="618BCC43" w14:textId="77777777" w:rsidTr="0038698C">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65525192" w14:textId="77777777" w:rsidR="0038698C" w:rsidRPr="0004524D" w:rsidRDefault="0038698C" w:rsidP="00914CD9">
            <w:pPr>
              <w:jc w:val="both"/>
              <w:rPr>
                <w:rFonts w:eastAsia="Times New Roman" w:cs="Arial"/>
                <w:color w:val="000000"/>
                <w:sz w:val="18"/>
                <w:szCs w:val="18"/>
                <w:lang w:val="es-ES_tradnl"/>
              </w:rPr>
            </w:pPr>
            <w:r w:rsidRPr="0004524D">
              <w:rPr>
                <w:rFonts w:eastAsia="Times New Roman" w:cs="Arial"/>
                <w:color w:val="000000"/>
                <w:sz w:val="18"/>
                <w:szCs w:val="18"/>
                <w:lang w:val="es-ES_tradnl"/>
              </w:rPr>
              <w:t xml:space="preserve">Pendientes del año anterior </w:t>
            </w:r>
          </w:p>
        </w:tc>
        <w:tc>
          <w:tcPr>
            <w:tcW w:w="2160" w:type="dxa"/>
            <w:tcBorders>
              <w:top w:val="nil"/>
              <w:left w:val="nil"/>
              <w:bottom w:val="single" w:sz="4" w:space="0" w:color="auto"/>
              <w:right w:val="single" w:sz="4" w:space="0" w:color="auto"/>
            </w:tcBorders>
            <w:shd w:val="clear" w:color="auto" w:fill="auto"/>
            <w:vAlign w:val="center"/>
            <w:hideMark/>
          </w:tcPr>
          <w:p w14:paraId="22102C9A" w14:textId="77777777" w:rsidR="0038698C" w:rsidRPr="002D4144" w:rsidRDefault="0038698C" w:rsidP="00914CD9">
            <w:pPr>
              <w:jc w:val="both"/>
              <w:rPr>
                <w:rFonts w:eastAsia="Times New Roman" w:cs="Arial"/>
                <w:color w:val="000000"/>
                <w:sz w:val="18"/>
                <w:szCs w:val="18"/>
              </w:rPr>
            </w:pPr>
            <w:r>
              <w:rPr>
                <w:rFonts w:eastAsia="Times New Roman" w:cs="Arial"/>
                <w:color w:val="000000"/>
                <w:sz w:val="18"/>
                <w:szCs w:val="18"/>
              </w:rPr>
              <w:t xml:space="preserve">               246.</w:t>
            </w:r>
            <w:r w:rsidRPr="002D4144">
              <w:rPr>
                <w:rFonts w:eastAsia="Times New Roman" w:cs="Arial"/>
                <w:color w:val="000000"/>
                <w:sz w:val="18"/>
                <w:szCs w:val="18"/>
              </w:rPr>
              <w:t xml:space="preserve">620 </w:t>
            </w:r>
          </w:p>
        </w:tc>
      </w:tr>
      <w:tr w:rsidR="0038698C" w:rsidRPr="002D4144" w14:paraId="15C564A4" w14:textId="77777777" w:rsidTr="0038698C">
        <w:trPr>
          <w:trHeight w:val="290"/>
        </w:trPr>
        <w:tc>
          <w:tcPr>
            <w:tcW w:w="6120" w:type="dxa"/>
            <w:tcBorders>
              <w:top w:val="nil"/>
              <w:left w:val="double" w:sz="6" w:space="0" w:color="auto"/>
              <w:bottom w:val="single" w:sz="4" w:space="0" w:color="auto"/>
              <w:right w:val="single" w:sz="4" w:space="0" w:color="auto"/>
            </w:tcBorders>
            <w:shd w:val="clear" w:color="auto" w:fill="auto"/>
            <w:vAlign w:val="center"/>
            <w:hideMark/>
          </w:tcPr>
          <w:p w14:paraId="4B2808A5" w14:textId="77777777" w:rsidR="0038698C" w:rsidRPr="0004524D" w:rsidRDefault="0038698C" w:rsidP="00914CD9">
            <w:pPr>
              <w:jc w:val="both"/>
              <w:rPr>
                <w:rFonts w:eastAsia="Times New Roman" w:cs="Arial"/>
                <w:color w:val="000000"/>
                <w:sz w:val="18"/>
                <w:szCs w:val="18"/>
                <w:lang w:val="es-ES_tradnl"/>
              </w:rPr>
            </w:pPr>
            <w:r w:rsidRPr="0004524D">
              <w:rPr>
                <w:rFonts w:eastAsia="Times New Roman" w:cs="Arial"/>
                <w:color w:val="000000"/>
                <w:sz w:val="18"/>
                <w:szCs w:val="18"/>
                <w:lang w:val="es-ES_tradnl"/>
              </w:rPr>
              <w:t>Compromisos 2019</w:t>
            </w:r>
          </w:p>
        </w:tc>
        <w:tc>
          <w:tcPr>
            <w:tcW w:w="2160" w:type="dxa"/>
            <w:tcBorders>
              <w:top w:val="nil"/>
              <w:left w:val="nil"/>
              <w:bottom w:val="single" w:sz="4" w:space="0" w:color="auto"/>
              <w:right w:val="single" w:sz="4" w:space="0" w:color="auto"/>
            </w:tcBorders>
            <w:shd w:val="clear" w:color="auto" w:fill="auto"/>
            <w:vAlign w:val="center"/>
            <w:hideMark/>
          </w:tcPr>
          <w:p w14:paraId="59E087C5" w14:textId="77777777" w:rsidR="0038698C" w:rsidRPr="002D4144" w:rsidRDefault="0038698C" w:rsidP="00914CD9">
            <w:pPr>
              <w:jc w:val="both"/>
              <w:rPr>
                <w:rFonts w:eastAsia="Times New Roman" w:cs="Arial"/>
                <w:color w:val="000000"/>
                <w:sz w:val="18"/>
                <w:szCs w:val="18"/>
                <w:u w:val="single"/>
              </w:rPr>
            </w:pPr>
            <w:r>
              <w:rPr>
                <w:rFonts w:eastAsia="Times New Roman" w:cs="Arial"/>
                <w:color w:val="000000"/>
                <w:sz w:val="18"/>
                <w:szCs w:val="18"/>
                <w:u w:val="single"/>
              </w:rPr>
              <w:t xml:space="preserve">            2.195.</w:t>
            </w:r>
            <w:r w:rsidRPr="002D4144">
              <w:rPr>
                <w:rFonts w:eastAsia="Times New Roman" w:cs="Arial"/>
                <w:color w:val="000000"/>
                <w:sz w:val="18"/>
                <w:szCs w:val="18"/>
                <w:u w:val="single"/>
              </w:rPr>
              <w:t xml:space="preserve">203 </w:t>
            </w:r>
          </w:p>
        </w:tc>
      </w:tr>
      <w:tr w:rsidR="0038698C" w:rsidRPr="002D4144" w14:paraId="13ED7005" w14:textId="77777777" w:rsidTr="0038698C">
        <w:trPr>
          <w:trHeight w:val="300"/>
        </w:trPr>
        <w:tc>
          <w:tcPr>
            <w:tcW w:w="6120" w:type="dxa"/>
            <w:tcBorders>
              <w:top w:val="nil"/>
              <w:left w:val="double" w:sz="6" w:space="0" w:color="auto"/>
              <w:bottom w:val="double" w:sz="6" w:space="0" w:color="auto"/>
              <w:right w:val="single" w:sz="4" w:space="0" w:color="auto"/>
            </w:tcBorders>
            <w:shd w:val="clear" w:color="auto" w:fill="auto"/>
            <w:vAlign w:val="center"/>
            <w:hideMark/>
          </w:tcPr>
          <w:p w14:paraId="50B29369" w14:textId="77777777" w:rsidR="0038698C" w:rsidRPr="0004524D" w:rsidRDefault="0038698C" w:rsidP="00914CD9">
            <w:pPr>
              <w:jc w:val="both"/>
              <w:rPr>
                <w:rFonts w:eastAsia="Times New Roman" w:cs="Arial"/>
                <w:color w:val="000000"/>
                <w:sz w:val="18"/>
                <w:szCs w:val="18"/>
                <w:lang w:val="es-ES_tradnl"/>
              </w:rPr>
            </w:pPr>
            <w:r w:rsidRPr="0004524D">
              <w:rPr>
                <w:rFonts w:eastAsia="Times New Roman" w:cs="Arial"/>
                <w:color w:val="000000"/>
                <w:sz w:val="18"/>
                <w:szCs w:val="18"/>
                <w:lang w:val="es-ES_tradnl"/>
              </w:rPr>
              <w:t>Compromisos totales a 31.12.2019</w:t>
            </w:r>
          </w:p>
        </w:tc>
        <w:tc>
          <w:tcPr>
            <w:tcW w:w="2160" w:type="dxa"/>
            <w:tcBorders>
              <w:top w:val="nil"/>
              <w:left w:val="nil"/>
              <w:bottom w:val="double" w:sz="6" w:space="0" w:color="auto"/>
              <w:right w:val="single" w:sz="4" w:space="0" w:color="auto"/>
            </w:tcBorders>
            <w:shd w:val="clear" w:color="auto" w:fill="auto"/>
            <w:vAlign w:val="center"/>
            <w:hideMark/>
          </w:tcPr>
          <w:p w14:paraId="6DCE06F2" w14:textId="77777777" w:rsidR="0038698C" w:rsidRPr="002D4144" w:rsidRDefault="0038698C" w:rsidP="00914CD9">
            <w:pPr>
              <w:jc w:val="both"/>
              <w:rPr>
                <w:rFonts w:eastAsia="Times New Roman" w:cs="Arial"/>
                <w:b/>
                <w:bCs/>
                <w:color w:val="000000"/>
                <w:sz w:val="18"/>
                <w:szCs w:val="18"/>
              </w:rPr>
            </w:pPr>
            <w:r>
              <w:rPr>
                <w:rFonts w:eastAsia="Times New Roman" w:cs="Arial"/>
                <w:b/>
                <w:bCs/>
                <w:color w:val="000000"/>
                <w:sz w:val="18"/>
                <w:szCs w:val="18"/>
              </w:rPr>
              <w:t xml:space="preserve">       2.441.</w:t>
            </w:r>
            <w:r w:rsidRPr="002D4144">
              <w:rPr>
                <w:rFonts w:eastAsia="Times New Roman" w:cs="Arial"/>
                <w:b/>
                <w:bCs/>
                <w:color w:val="000000"/>
                <w:sz w:val="18"/>
                <w:szCs w:val="18"/>
              </w:rPr>
              <w:t xml:space="preserve">823 </w:t>
            </w:r>
          </w:p>
        </w:tc>
      </w:tr>
    </w:tbl>
    <w:p w14:paraId="16EF3E45" w14:textId="77777777" w:rsidR="0038698C" w:rsidRPr="00961E1A" w:rsidRDefault="0038698C" w:rsidP="00914CD9">
      <w:pPr>
        <w:spacing w:after="120"/>
        <w:jc w:val="both"/>
        <w:rPr>
          <w:rFonts w:eastAsia="Calibri" w:cs="Arial"/>
          <w:b/>
          <w:lang w:val="es-ES_tradnl"/>
        </w:rPr>
      </w:pPr>
    </w:p>
    <w:p w14:paraId="7334975C" w14:textId="77777777" w:rsidR="0038698C" w:rsidRPr="00961E1A" w:rsidRDefault="0038698C" w:rsidP="00914CD9">
      <w:pPr>
        <w:spacing w:after="120"/>
        <w:jc w:val="both"/>
        <w:rPr>
          <w:rFonts w:eastAsia="Calibri" w:cs="Arial"/>
          <w:lang w:val="es-ES_tradnl"/>
        </w:rPr>
      </w:pPr>
      <w:r w:rsidRPr="00961E1A">
        <w:rPr>
          <w:rFonts w:eastAsia="Calibri" w:cs="Arial"/>
          <w:lang w:val="es-ES_tradnl"/>
        </w:rPr>
        <w:t>Los compromisos pendientes del año anterior se refieren a un conflicto entre el Receptor Principal y un contratista por la renovación de un centro de salud. El trabajo realizado no responde a la calidad esperada y el RP ha retenido este monto hasta que se corrija el defecto.</w:t>
      </w:r>
    </w:p>
    <w:p w14:paraId="439F8A66" w14:textId="77777777" w:rsidR="0038698C" w:rsidRPr="00325F25" w:rsidRDefault="0038698C" w:rsidP="00914CD9">
      <w:pPr>
        <w:spacing w:after="120"/>
        <w:jc w:val="both"/>
        <w:rPr>
          <w:rFonts w:eastAsia="Calibri" w:cs="Arial"/>
          <w:b/>
          <w:lang w:val="es-ES_tradnl"/>
        </w:rPr>
      </w:pPr>
    </w:p>
    <w:p w14:paraId="5A8D4D22" w14:textId="77777777" w:rsidR="0038698C" w:rsidRDefault="0038698C" w:rsidP="0038698C">
      <w:pPr>
        <w:spacing w:after="120"/>
        <w:jc w:val="both"/>
        <w:rPr>
          <w:rFonts w:eastAsia="Calibri" w:cs="Arial"/>
          <w:b/>
          <w:lang w:val="es-ES_tradnl"/>
        </w:rPr>
      </w:pPr>
    </w:p>
    <w:p w14:paraId="79D508A2" w14:textId="77777777" w:rsidR="0038698C" w:rsidRDefault="0038698C" w:rsidP="0038698C">
      <w:pPr>
        <w:spacing w:after="120"/>
        <w:jc w:val="both"/>
        <w:rPr>
          <w:rFonts w:eastAsia="Calibri" w:cs="Arial"/>
          <w:b/>
          <w:lang w:val="es-ES_tradnl"/>
        </w:rPr>
      </w:pPr>
    </w:p>
    <w:p w14:paraId="7CB935A5" w14:textId="77777777" w:rsidR="0038698C" w:rsidRDefault="0038698C" w:rsidP="00914CD9">
      <w:pPr>
        <w:spacing w:after="120"/>
        <w:jc w:val="both"/>
        <w:rPr>
          <w:rFonts w:eastAsia="Calibri" w:cs="Arial"/>
          <w:b/>
          <w:lang w:val="es-ES_tradnl"/>
        </w:rPr>
      </w:pPr>
    </w:p>
    <w:p w14:paraId="684BF273" w14:textId="77777777" w:rsidR="0038698C" w:rsidRPr="003866DB" w:rsidRDefault="0038698C" w:rsidP="00914CD9">
      <w:pPr>
        <w:spacing w:after="120"/>
        <w:jc w:val="both"/>
        <w:rPr>
          <w:rFonts w:eastAsia="Calibri" w:cs="Arial"/>
          <w:b/>
          <w:lang w:val="es-ES_tradnl"/>
        </w:rPr>
      </w:pPr>
      <w:r w:rsidRPr="003866DB">
        <w:rPr>
          <w:rFonts w:eastAsia="Calibri" w:cs="Arial"/>
          <w:b/>
          <w:lang w:val="es-ES_tradnl"/>
        </w:rPr>
        <w:t xml:space="preserve">Nota 10: Anticipos del Receptor Principal </w:t>
      </w:r>
    </w:p>
    <w:p w14:paraId="44A11B31" w14:textId="77777777" w:rsidR="0038698C" w:rsidRPr="003866DB" w:rsidRDefault="0038698C" w:rsidP="00914CD9">
      <w:pPr>
        <w:spacing w:after="120"/>
        <w:jc w:val="both"/>
        <w:rPr>
          <w:rFonts w:eastAsia="Calibri" w:cs="Arial"/>
          <w:lang w:val="es-ES_tradnl"/>
        </w:rPr>
      </w:pPr>
      <w:r w:rsidRPr="003866DB">
        <w:rPr>
          <w:rFonts w:eastAsia="Calibri" w:cs="Arial"/>
          <w:lang w:val="es-ES_tradnl"/>
        </w:rPr>
        <w:t xml:space="preserve">El PER realizó un anticipo de US$1.200.000 a FXY Ltd por el transporte de mosquiteros que aún deben recibirse en Ficticia. Otros anticipos se realizaron al personal y ascienden a US$115,000. </w:t>
      </w:r>
    </w:p>
    <w:p w14:paraId="739CF27A" w14:textId="77777777" w:rsidR="0038698C" w:rsidRPr="00325F25" w:rsidRDefault="0038698C" w:rsidP="00914CD9">
      <w:pPr>
        <w:spacing w:after="120"/>
        <w:jc w:val="both"/>
        <w:rPr>
          <w:rFonts w:eastAsia="Calibri" w:cs="Arial"/>
          <w:b/>
          <w:lang w:val="es-ES_tradnl"/>
        </w:rPr>
      </w:pPr>
    </w:p>
    <w:p w14:paraId="670F1DB1" w14:textId="77777777" w:rsidR="0038698C" w:rsidRPr="00325F25" w:rsidRDefault="0038698C" w:rsidP="00914CD9">
      <w:pPr>
        <w:spacing w:after="120"/>
        <w:jc w:val="both"/>
        <w:rPr>
          <w:rFonts w:eastAsia="Calibri" w:cs="Arial"/>
          <w:b/>
          <w:lang w:val="es-ES_tradnl"/>
        </w:rPr>
      </w:pPr>
    </w:p>
    <w:p w14:paraId="49F2F461" w14:textId="77777777" w:rsidR="0038698C" w:rsidRPr="00F26D72" w:rsidRDefault="0038698C" w:rsidP="00914CD9">
      <w:pPr>
        <w:spacing w:after="120"/>
        <w:jc w:val="both"/>
        <w:rPr>
          <w:rFonts w:eastAsia="Calibri" w:cs="Arial"/>
          <w:b/>
        </w:rPr>
      </w:pPr>
      <w:r>
        <w:rPr>
          <w:rFonts w:eastAsia="Calibri" w:cs="Arial"/>
          <w:b/>
        </w:rPr>
        <w:t>Nota</w:t>
      </w:r>
      <w:r w:rsidRPr="00F26D72">
        <w:rPr>
          <w:rFonts w:eastAsia="Calibri" w:cs="Arial"/>
          <w:b/>
        </w:rPr>
        <w:t xml:space="preserve"> 11: </w:t>
      </w:r>
      <w:r w:rsidRPr="00CB0743">
        <w:rPr>
          <w:rFonts w:eastAsia="Calibri" w:cs="Arial"/>
          <w:b/>
          <w:lang w:val="es-ES_tradnl"/>
        </w:rPr>
        <w:t>Anticipos</w:t>
      </w:r>
      <w:r>
        <w:rPr>
          <w:rFonts w:eastAsia="Calibri" w:cs="Arial"/>
          <w:b/>
        </w:rPr>
        <w:t xml:space="preserve"> del Subreceptor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1163"/>
        <w:gridCol w:w="225"/>
        <w:gridCol w:w="1494"/>
        <w:gridCol w:w="226"/>
        <w:gridCol w:w="1490"/>
        <w:gridCol w:w="236"/>
        <w:gridCol w:w="1505"/>
      </w:tblGrid>
      <w:tr w:rsidR="0038698C" w:rsidRPr="002D4144" w14:paraId="7B49E060" w14:textId="77777777" w:rsidTr="0038698C">
        <w:trPr>
          <w:trHeight w:val="422"/>
        </w:trPr>
        <w:tc>
          <w:tcPr>
            <w:tcW w:w="2867" w:type="dxa"/>
            <w:hideMark/>
          </w:tcPr>
          <w:p w14:paraId="0896085B" w14:textId="77777777" w:rsidR="0038698C" w:rsidRPr="002D4144" w:rsidRDefault="0038698C" w:rsidP="00914CD9">
            <w:pPr>
              <w:jc w:val="both"/>
              <w:rPr>
                <w:rFonts w:eastAsia="Calibri" w:cs="Arial"/>
                <w:b/>
                <w:bCs/>
                <w:sz w:val="18"/>
                <w:szCs w:val="18"/>
              </w:rPr>
            </w:pPr>
          </w:p>
        </w:tc>
        <w:tc>
          <w:tcPr>
            <w:tcW w:w="237" w:type="dxa"/>
          </w:tcPr>
          <w:p w14:paraId="7ECB39BC" w14:textId="77777777" w:rsidR="0038698C" w:rsidRPr="002D4144" w:rsidRDefault="0038698C" w:rsidP="00914CD9">
            <w:pPr>
              <w:jc w:val="both"/>
              <w:rPr>
                <w:rFonts w:eastAsia="Calibri" w:cs="Arial"/>
                <w:b/>
                <w:bCs/>
                <w:sz w:val="18"/>
                <w:szCs w:val="18"/>
              </w:rPr>
            </w:pPr>
            <w:r w:rsidRPr="002D4144">
              <w:rPr>
                <w:rFonts w:eastAsia="Calibri" w:cs="Arial"/>
                <w:b/>
                <w:bCs/>
                <w:sz w:val="18"/>
                <w:szCs w:val="18"/>
              </w:rPr>
              <w:t>SR 1</w:t>
            </w:r>
          </w:p>
        </w:tc>
        <w:tc>
          <w:tcPr>
            <w:tcW w:w="225" w:type="dxa"/>
          </w:tcPr>
          <w:p w14:paraId="5572E7B8" w14:textId="77777777" w:rsidR="0038698C" w:rsidRPr="002D4144" w:rsidRDefault="0038698C" w:rsidP="00914CD9">
            <w:pPr>
              <w:jc w:val="both"/>
              <w:rPr>
                <w:rFonts w:eastAsia="Calibri" w:cs="Arial"/>
                <w:b/>
                <w:bCs/>
                <w:sz w:val="18"/>
                <w:szCs w:val="18"/>
              </w:rPr>
            </w:pPr>
          </w:p>
        </w:tc>
        <w:tc>
          <w:tcPr>
            <w:tcW w:w="1494" w:type="dxa"/>
            <w:hideMark/>
          </w:tcPr>
          <w:p w14:paraId="34305297" w14:textId="77777777" w:rsidR="0038698C" w:rsidRPr="002D4144" w:rsidRDefault="0038698C" w:rsidP="00914CD9">
            <w:pPr>
              <w:jc w:val="both"/>
              <w:rPr>
                <w:rFonts w:eastAsia="Calibri" w:cs="Arial"/>
                <w:b/>
                <w:bCs/>
                <w:sz w:val="18"/>
                <w:szCs w:val="18"/>
              </w:rPr>
            </w:pPr>
            <w:r w:rsidRPr="002D4144">
              <w:rPr>
                <w:rFonts w:eastAsia="Calibri" w:cs="Arial"/>
                <w:b/>
                <w:bCs/>
                <w:sz w:val="18"/>
                <w:szCs w:val="18"/>
              </w:rPr>
              <w:t>SR 2</w:t>
            </w:r>
          </w:p>
        </w:tc>
        <w:tc>
          <w:tcPr>
            <w:tcW w:w="226" w:type="dxa"/>
          </w:tcPr>
          <w:p w14:paraId="3CDD2F0A" w14:textId="77777777" w:rsidR="0038698C" w:rsidRPr="002D4144" w:rsidRDefault="0038698C" w:rsidP="00914CD9">
            <w:pPr>
              <w:jc w:val="both"/>
              <w:rPr>
                <w:rFonts w:eastAsia="Calibri" w:cs="Arial"/>
                <w:b/>
                <w:bCs/>
                <w:sz w:val="18"/>
                <w:szCs w:val="18"/>
              </w:rPr>
            </w:pPr>
          </w:p>
        </w:tc>
        <w:tc>
          <w:tcPr>
            <w:tcW w:w="1490" w:type="dxa"/>
            <w:hideMark/>
          </w:tcPr>
          <w:p w14:paraId="0C6277B7" w14:textId="77777777" w:rsidR="0038698C" w:rsidRPr="00EA49C7" w:rsidRDefault="0038698C" w:rsidP="00914CD9">
            <w:pPr>
              <w:jc w:val="both"/>
              <w:rPr>
                <w:rFonts w:eastAsia="Calibri" w:cs="Arial"/>
                <w:b/>
                <w:bCs/>
                <w:sz w:val="18"/>
                <w:szCs w:val="18"/>
                <w:lang w:val="es-ES_tradnl"/>
              </w:rPr>
            </w:pPr>
            <w:r w:rsidRPr="00EA49C7">
              <w:rPr>
                <w:rFonts w:eastAsia="Calibri" w:cs="Arial"/>
                <w:b/>
                <w:bCs/>
                <w:sz w:val="18"/>
                <w:szCs w:val="18"/>
                <w:lang w:val="es-ES_tradnl"/>
              </w:rPr>
              <w:t>SRx</w:t>
            </w:r>
          </w:p>
        </w:tc>
        <w:tc>
          <w:tcPr>
            <w:tcW w:w="236" w:type="dxa"/>
          </w:tcPr>
          <w:p w14:paraId="38975C3B" w14:textId="77777777" w:rsidR="0038698C" w:rsidRPr="002D4144" w:rsidRDefault="0038698C" w:rsidP="00914CD9">
            <w:pPr>
              <w:jc w:val="both"/>
              <w:rPr>
                <w:rFonts w:eastAsia="Calibri" w:cs="Arial"/>
                <w:b/>
                <w:bCs/>
                <w:sz w:val="18"/>
                <w:szCs w:val="18"/>
              </w:rPr>
            </w:pPr>
          </w:p>
        </w:tc>
        <w:tc>
          <w:tcPr>
            <w:tcW w:w="1505" w:type="dxa"/>
            <w:hideMark/>
          </w:tcPr>
          <w:p w14:paraId="21BA187B" w14:textId="77777777" w:rsidR="0038698C" w:rsidRPr="002D4144" w:rsidRDefault="0038698C" w:rsidP="00914CD9">
            <w:pPr>
              <w:jc w:val="both"/>
              <w:rPr>
                <w:rFonts w:eastAsia="Calibri" w:cs="Arial"/>
                <w:b/>
                <w:bCs/>
                <w:sz w:val="18"/>
                <w:szCs w:val="18"/>
              </w:rPr>
            </w:pPr>
            <w:r>
              <w:rPr>
                <w:rFonts w:eastAsia="Calibri" w:cs="Arial"/>
                <w:b/>
                <w:bCs/>
                <w:sz w:val="18"/>
                <w:szCs w:val="18"/>
              </w:rPr>
              <w:t>Monto</w:t>
            </w:r>
          </w:p>
        </w:tc>
      </w:tr>
      <w:tr w:rsidR="0038698C" w:rsidRPr="002D4144" w14:paraId="458C2B14" w14:textId="77777777" w:rsidTr="0038698C">
        <w:trPr>
          <w:trHeight w:val="300"/>
        </w:trPr>
        <w:tc>
          <w:tcPr>
            <w:tcW w:w="2867" w:type="dxa"/>
            <w:hideMark/>
          </w:tcPr>
          <w:p w14:paraId="5C31BDD5" w14:textId="77777777" w:rsidR="0038698C" w:rsidRPr="003866DB" w:rsidRDefault="0038698C" w:rsidP="00914CD9">
            <w:pPr>
              <w:jc w:val="both"/>
              <w:rPr>
                <w:rFonts w:eastAsia="Calibri" w:cs="Arial"/>
                <w:sz w:val="18"/>
                <w:szCs w:val="18"/>
                <w:lang w:val="es-ES_tradnl"/>
              </w:rPr>
            </w:pPr>
            <w:r w:rsidRPr="003866DB">
              <w:rPr>
                <w:rFonts w:eastAsia="Calibri" w:cs="Arial"/>
                <w:sz w:val="18"/>
                <w:szCs w:val="18"/>
                <w:lang w:val="es-ES_tradnl"/>
              </w:rPr>
              <w:t>Anticipos no liquidados (año anterior)</w:t>
            </w:r>
          </w:p>
        </w:tc>
        <w:tc>
          <w:tcPr>
            <w:tcW w:w="237" w:type="dxa"/>
          </w:tcPr>
          <w:p w14:paraId="7B4C7110" w14:textId="77777777" w:rsidR="0038698C" w:rsidRPr="002D4144" w:rsidRDefault="0038698C" w:rsidP="00914CD9">
            <w:pPr>
              <w:jc w:val="both"/>
              <w:rPr>
                <w:rFonts w:eastAsia="Calibri" w:cs="Arial"/>
                <w:sz w:val="18"/>
                <w:szCs w:val="18"/>
              </w:rPr>
            </w:pPr>
            <w:r>
              <w:rPr>
                <w:rFonts w:eastAsia="Calibri" w:cs="Arial"/>
                <w:sz w:val="18"/>
                <w:szCs w:val="18"/>
              </w:rPr>
              <w:t>100.</w:t>
            </w:r>
            <w:r w:rsidRPr="002D4144">
              <w:rPr>
                <w:rFonts w:eastAsia="Calibri" w:cs="Arial"/>
                <w:sz w:val="18"/>
                <w:szCs w:val="18"/>
              </w:rPr>
              <w:t>000</w:t>
            </w:r>
          </w:p>
        </w:tc>
        <w:tc>
          <w:tcPr>
            <w:tcW w:w="225" w:type="dxa"/>
          </w:tcPr>
          <w:p w14:paraId="3E9A671A" w14:textId="77777777" w:rsidR="0038698C" w:rsidRPr="002D4144" w:rsidRDefault="0038698C" w:rsidP="00914CD9">
            <w:pPr>
              <w:jc w:val="both"/>
              <w:rPr>
                <w:rFonts w:eastAsia="Calibri" w:cs="Arial"/>
                <w:sz w:val="18"/>
                <w:szCs w:val="18"/>
              </w:rPr>
            </w:pPr>
          </w:p>
        </w:tc>
        <w:tc>
          <w:tcPr>
            <w:tcW w:w="1494" w:type="dxa"/>
            <w:hideMark/>
          </w:tcPr>
          <w:p w14:paraId="447226B0" w14:textId="77777777" w:rsidR="0038698C" w:rsidRPr="002D4144" w:rsidRDefault="0038698C" w:rsidP="00914CD9">
            <w:pPr>
              <w:jc w:val="both"/>
              <w:rPr>
                <w:rFonts w:eastAsia="Calibri" w:cs="Arial"/>
                <w:sz w:val="18"/>
                <w:szCs w:val="18"/>
              </w:rPr>
            </w:pPr>
            <w:r>
              <w:rPr>
                <w:rFonts w:eastAsia="Calibri" w:cs="Arial"/>
                <w:sz w:val="18"/>
                <w:szCs w:val="18"/>
              </w:rPr>
              <w:t>76.</w:t>
            </w:r>
            <w:r w:rsidRPr="002D4144">
              <w:rPr>
                <w:rFonts w:eastAsia="Calibri" w:cs="Arial"/>
                <w:sz w:val="18"/>
                <w:szCs w:val="18"/>
              </w:rPr>
              <w:t>934</w:t>
            </w:r>
          </w:p>
        </w:tc>
        <w:tc>
          <w:tcPr>
            <w:tcW w:w="226" w:type="dxa"/>
          </w:tcPr>
          <w:p w14:paraId="6A430A66" w14:textId="77777777" w:rsidR="0038698C" w:rsidRPr="002D4144" w:rsidRDefault="0038698C" w:rsidP="00914CD9">
            <w:pPr>
              <w:jc w:val="both"/>
              <w:rPr>
                <w:rFonts w:eastAsia="Calibri" w:cs="Arial"/>
                <w:sz w:val="18"/>
                <w:szCs w:val="18"/>
              </w:rPr>
            </w:pPr>
          </w:p>
        </w:tc>
        <w:tc>
          <w:tcPr>
            <w:tcW w:w="1490" w:type="dxa"/>
            <w:hideMark/>
          </w:tcPr>
          <w:p w14:paraId="28F2CA71" w14:textId="77777777" w:rsidR="0038698C" w:rsidRPr="002D4144" w:rsidRDefault="0038698C" w:rsidP="00914CD9">
            <w:pPr>
              <w:jc w:val="both"/>
              <w:rPr>
                <w:rFonts w:eastAsia="Calibri" w:cs="Arial"/>
                <w:sz w:val="18"/>
                <w:szCs w:val="18"/>
              </w:rPr>
            </w:pPr>
            <w:r>
              <w:rPr>
                <w:rFonts w:eastAsia="Calibri" w:cs="Arial"/>
                <w:sz w:val="18"/>
                <w:szCs w:val="18"/>
              </w:rPr>
              <w:t>62.</w:t>
            </w:r>
            <w:r w:rsidRPr="002D4144">
              <w:rPr>
                <w:rFonts w:eastAsia="Calibri" w:cs="Arial"/>
                <w:sz w:val="18"/>
                <w:szCs w:val="18"/>
              </w:rPr>
              <w:t>047</w:t>
            </w:r>
          </w:p>
        </w:tc>
        <w:tc>
          <w:tcPr>
            <w:tcW w:w="236" w:type="dxa"/>
          </w:tcPr>
          <w:p w14:paraId="054D0D4C" w14:textId="77777777" w:rsidR="0038698C" w:rsidRPr="002D4144" w:rsidRDefault="0038698C" w:rsidP="00914CD9">
            <w:pPr>
              <w:jc w:val="both"/>
              <w:rPr>
                <w:rFonts w:eastAsia="Calibri" w:cs="Arial"/>
                <w:sz w:val="18"/>
                <w:szCs w:val="18"/>
              </w:rPr>
            </w:pPr>
          </w:p>
        </w:tc>
        <w:tc>
          <w:tcPr>
            <w:tcW w:w="1505" w:type="dxa"/>
            <w:hideMark/>
          </w:tcPr>
          <w:p w14:paraId="7803D195" w14:textId="77777777" w:rsidR="0038698C" w:rsidRPr="002D4144" w:rsidRDefault="0038698C" w:rsidP="00914CD9">
            <w:pPr>
              <w:jc w:val="both"/>
              <w:rPr>
                <w:rFonts w:eastAsia="Calibri" w:cs="Arial"/>
                <w:sz w:val="18"/>
                <w:szCs w:val="18"/>
              </w:rPr>
            </w:pPr>
            <w:r>
              <w:rPr>
                <w:rFonts w:eastAsia="Calibri" w:cs="Arial"/>
                <w:sz w:val="18"/>
                <w:szCs w:val="18"/>
              </w:rPr>
              <w:t>238.</w:t>
            </w:r>
            <w:r w:rsidRPr="002D4144">
              <w:rPr>
                <w:rFonts w:eastAsia="Calibri" w:cs="Arial"/>
                <w:sz w:val="18"/>
                <w:szCs w:val="18"/>
              </w:rPr>
              <w:t>981</w:t>
            </w:r>
          </w:p>
        </w:tc>
      </w:tr>
      <w:tr w:rsidR="0038698C" w:rsidRPr="002D4144" w14:paraId="04EB887E" w14:textId="77777777" w:rsidTr="0038698C">
        <w:trPr>
          <w:trHeight w:val="300"/>
        </w:trPr>
        <w:tc>
          <w:tcPr>
            <w:tcW w:w="2867" w:type="dxa"/>
            <w:hideMark/>
          </w:tcPr>
          <w:p w14:paraId="2D5D721D" w14:textId="77777777" w:rsidR="0038698C" w:rsidRPr="003866DB" w:rsidRDefault="0038698C" w:rsidP="00914CD9">
            <w:pPr>
              <w:jc w:val="both"/>
              <w:rPr>
                <w:rFonts w:eastAsia="Calibri" w:cs="Arial"/>
                <w:sz w:val="18"/>
                <w:szCs w:val="18"/>
                <w:lang w:val="es-ES_tradnl"/>
              </w:rPr>
            </w:pPr>
            <w:r w:rsidRPr="003866DB">
              <w:rPr>
                <w:rFonts w:eastAsia="Calibri" w:cs="Arial"/>
                <w:sz w:val="18"/>
                <w:szCs w:val="18"/>
                <w:lang w:val="es-ES_tradnl"/>
              </w:rPr>
              <w:t>Añadir anticipos del RP (año en curso)</w:t>
            </w:r>
          </w:p>
        </w:tc>
        <w:tc>
          <w:tcPr>
            <w:tcW w:w="237" w:type="dxa"/>
          </w:tcPr>
          <w:p w14:paraId="74EF7FD3" w14:textId="77777777" w:rsidR="0038698C" w:rsidRPr="002D4144" w:rsidRDefault="0038698C" w:rsidP="00914CD9">
            <w:pPr>
              <w:jc w:val="both"/>
              <w:rPr>
                <w:rFonts w:eastAsia="Calibri" w:cs="Arial"/>
                <w:sz w:val="18"/>
                <w:szCs w:val="18"/>
              </w:rPr>
            </w:pPr>
            <w:r>
              <w:rPr>
                <w:rFonts w:eastAsia="Calibri" w:cs="Arial"/>
                <w:sz w:val="18"/>
                <w:szCs w:val="18"/>
              </w:rPr>
              <w:t>350.</w:t>
            </w:r>
            <w:r w:rsidRPr="002D4144">
              <w:rPr>
                <w:rFonts w:eastAsia="Calibri" w:cs="Arial"/>
                <w:sz w:val="18"/>
                <w:szCs w:val="18"/>
              </w:rPr>
              <w:t>000</w:t>
            </w:r>
          </w:p>
        </w:tc>
        <w:tc>
          <w:tcPr>
            <w:tcW w:w="225" w:type="dxa"/>
          </w:tcPr>
          <w:p w14:paraId="2307B1D2" w14:textId="77777777" w:rsidR="0038698C" w:rsidRPr="002D4144" w:rsidRDefault="0038698C" w:rsidP="00914CD9">
            <w:pPr>
              <w:jc w:val="both"/>
              <w:rPr>
                <w:rFonts w:eastAsia="Calibri" w:cs="Arial"/>
                <w:sz w:val="18"/>
                <w:szCs w:val="18"/>
              </w:rPr>
            </w:pPr>
          </w:p>
        </w:tc>
        <w:tc>
          <w:tcPr>
            <w:tcW w:w="1494" w:type="dxa"/>
            <w:hideMark/>
          </w:tcPr>
          <w:p w14:paraId="793D9BFA" w14:textId="77777777" w:rsidR="0038698C" w:rsidRPr="002D4144" w:rsidRDefault="0038698C" w:rsidP="00914CD9">
            <w:pPr>
              <w:jc w:val="both"/>
              <w:rPr>
                <w:rFonts w:eastAsia="Calibri" w:cs="Arial"/>
                <w:sz w:val="18"/>
                <w:szCs w:val="18"/>
              </w:rPr>
            </w:pPr>
            <w:r>
              <w:rPr>
                <w:rFonts w:eastAsia="Calibri" w:cs="Arial"/>
                <w:sz w:val="18"/>
                <w:szCs w:val="18"/>
              </w:rPr>
              <w:t>488.</w:t>
            </w:r>
            <w:r w:rsidRPr="002D4144">
              <w:rPr>
                <w:rFonts w:eastAsia="Calibri" w:cs="Arial"/>
                <w:sz w:val="18"/>
                <w:szCs w:val="18"/>
              </w:rPr>
              <w:t>750</w:t>
            </w:r>
          </w:p>
        </w:tc>
        <w:tc>
          <w:tcPr>
            <w:tcW w:w="226" w:type="dxa"/>
          </w:tcPr>
          <w:p w14:paraId="4B95CC17" w14:textId="77777777" w:rsidR="0038698C" w:rsidRPr="002D4144" w:rsidRDefault="0038698C" w:rsidP="00914CD9">
            <w:pPr>
              <w:jc w:val="both"/>
              <w:rPr>
                <w:rFonts w:eastAsia="Calibri" w:cs="Arial"/>
                <w:sz w:val="18"/>
                <w:szCs w:val="18"/>
              </w:rPr>
            </w:pPr>
          </w:p>
        </w:tc>
        <w:tc>
          <w:tcPr>
            <w:tcW w:w="1490" w:type="dxa"/>
            <w:hideMark/>
          </w:tcPr>
          <w:p w14:paraId="4CC37B60" w14:textId="77777777" w:rsidR="0038698C" w:rsidRPr="002D4144" w:rsidRDefault="0038698C" w:rsidP="00914CD9">
            <w:pPr>
              <w:jc w:val="both"/>
              <w:rPr>
                <w:rFonts w:eastAsia="Calibri" w:cs="Arial"/>
                <w:sz w:val="18"/>
                <w:szCs w:val="18"/>
              </w:rPr>
            </w:pPr>
            <w:r>
              <w:rPr>
                <w:rFonts w:eastAsia="Calibri" w:cs="Arial"/>
                <w:sz w:val="18"/>
                <w:szCs w:val="18"/>
              </w:rPr>
              <w:t>400.</w:t>
            </w:r>
            <w:r w:rsidRPr="002D4144">
              <w:rPr>
                <w:rFonts w:eastAsia="Calibri" w:cs="Arial"/>
                <w:sz w:val="18"/>
                <w:szCs w:val="18"/>
              </w:rPr>
              <w:t>000</w:t>
            </w:r>
          </w:p>
        </w:tc>
        <w:tc>
          <w:tcPr>
            <w:tcW w:w="236" w:type="dxa"/>
          </w:tcPr>
          <w:p w14:paraId="0260F6BC" w14:textId="77777777" w:rsidR="0038698C" w:rsidRPr="002D4144" w:rsidRDefault="0038698C" w:rsidP="00914CD9">
            <w:pPr>
              <w:jc w:val="both"/>
              <w:rPr>
                <w:rFonts w:eastAsia="Calibri" w:cs="Arial"/>
                <w:sz w:val="18"/>
                <w:szCs w:val="18"/>
              </w:rPr>
            </w:pPr>
          </w:p>
        </w:tc>
        <w:tc>
          <w:tcPr>
            <w:tcW w:w="1505" w:type="dxa"/>
            <w:hideMark/>
          </w:tcPr>
          <w:p w14:paraId="5CE62A24" w14:textId="77777777" w:rsidR="0038698C" w:rsidRPr="002D4144" w:rsidRDefault="0038698C" w:rsidP="00914CD9">
            <w:pPr>
              <w:jc w:val="both"/>
              <w:rPr>
                <w:rFonts w:eastAsia="Calibri" w:cs="Arial"/>
                <w:sz w:val="18"/>
                <w:szCs w:val="18"/>
              </w:rPr>
            </w:pPr>
            <w:r>
              <w:rPr>
                <w:rFonts w:eastAsia="Calibri" w:cs="Arial"/>
                <w:sz w:val="18"/>
                <w:szCs w:val="18"/>
              </w:rPr>
              <w:t>1.238.</w:t>
            </w:r>
            <w:r w:rsidRPr="002D4144">
              <w:rPr>
                <w:rFonts w:eastAsia="Calibri" w:cs="Arial"/>
                <w:sz w:val="18"/>
                <w:szCs w:val="18"/>
              </w:rPr>
              <w:t>750</w:t>
            </w:r>
          </w:p>
        </w:tc>
      </w:tr>
      <w:tr w:rsidR="0038698C" w:rsidRPr="002D4144" w14:paraId="54200F5F" w14:textId="77777777" w:rsidTr="0038698C">
        <w:trPr>
          <w:trHeight w:val="300"/>
        </w:trPr>
        <w:tc>
          <w:tcPr>
            <w:tcW w:w="2867" w:type="dxa"/>
            <w:hideMark/>
          </w:tcPr>
          <w:p w14:paraId="5ADFF2FC" w14:textId="77777777" w:rsidR="0038698C" w:rsidRPr="003866DB" w:rsidRDefault="0038698C" w:rsidP="00914CD9">
            <w:pPr>
              <w:jc w:val="both"/>
              <w:rPr>
                <w:rFonts w:eastAsia="Calibri" w:cs="Arial"/>
                <w:sz w:val="18"/>
                <w:szCs w:val="18"/>
                <w:lang w:val="es-ES_tradnl"/>
              </w:rPr>
            </w:pPr>
            <w:r w:rsidRPr="003866DB">
              <w:rPr>
                <w:rFonts w:eastAsia="Calibri" w:cs="Arial"/>
                <w:sz w:val="18"/>
                <w:szCs w:val="18"/>
                <w:lang w:val="es-ES_tradnl"/>
              </w:rPr>
              <w:t xml:space="preserve">Menos anticipos justificados del SR </w:t>
            </w:r>
          </w:p>
        </w:tc>
        <w:tc>
          <w:tcPr>
            <w:tcW w:w="237" w:type="dxa"/>
            <w:tcBorders>
              <w:bottom w:val="single" w:sz="4" w:space="0" w:color="auto"/>
            </w:tcBorders>
          </w:tcPr>
          <w:p w14:paraId="5C7983A3" w14:textId="77777777" w:rsidR="0038698C" w:rsidRPr="002D4144" w:rsidRDefault="0038698C" w:rsidP="00914CD9">
            <w:pPr>
              <w:jc w:val="both"/>
              <w:rPr>
                <w:rFonts w:eastAsia="Calibri" w:cs="Arial"/>
                <w:sz w:val="18"/>
                <w:szCs w:val="18"/>
              </w:rPr>
            </w:pPr>
            <w:r>
              <w:rPr>
                <w:rFonts w:eastAsia="Calibri" w:cs="Arial"/>
                <w:sz w:val="18"/>
                <w:szCs w:val="18"/>
              </w:rPr>
              <w:t>(400.</w:t>
            </w:r>
            <w:r w:rsidRPr="002D4144">
              <w:rPr>
                <w:rFonts w:eastAsia="Calibri" w:cs="Arial"/>
                <w:sz w:val="18"/>
                <w:szCs w:val="18"/>
              </w:rPr>
              <w:t>043)</w:t>
            </w:r>
          </w:p>
        </w:tc>
        <w:tc>
          <w:tcPr>
            <w:tcW w:w="225" w:type="dxa"/>
          </w:tcPr>
          <w:p w14:paraId="3CBBF91A" w14:textId="77777777" w:rsidR="0038698C" w:rsidRPr="002D4144" w:rsidRDefault="0038698C" w:rsidP="00914CD9">
            <w:pPr>
              <w:jc w:val="both"/>
              <w:rPr>
                <w:rFonts w:eastAsia="Calibri" w:cs="Arial"/>
                <w:sz w:val="18"/>
                <w:szCs w:val="18"/>
              </w:rPr>
            </w:pPr>
          </w:p>
        </w:tc>
        <w:tc>
          <w:tcPr>
            <w:tcW w:w="1494" w:type="dxa"/>
            <w:tcBorders>
              <w:bottom w:val="single" w:sz="4" w:space="0" w:color="auto"/>
            </w:tcBorders>
            <w:hideMark/>
          </w:tcPr>
          <w:p w14:paraId="12504213" w14:textId="77777777" w:rsidR="0038698C" w:rsidRPr="002D4144" w:rsidRDefault="0038698C" w:rsidP="00914CD9">
            <w:pPr>
              <w:jc w:val="both"/>
              <w:rPr>
                <w:rFonts w:eastAsia="Calibri" w:cs="Arial"/>
                <w:sz w:val="18"/>
                <w:szCs w:val="18"/>
              </w:rPr>
            </w:pPr>
            <w:r>
              <w:rPr>
                <w:rFonts w:eastAsia="Calibri" w:cs="Arial"/>
                <w:sz w:val="18"/>
                <w:szCs w:val="18"/>
              </w:rPr>
              <w:t>(520.</w:t>
            </w:r>
            <w:r w:rsidRPr="002D4144">
              <w:rPr>
                <w:rFonts w:eastAsia="Calibri" w:cs="Arial"/>
                <w:sz w:val="18"/>
                <w:szCs w:val="18"/>
              </w:rPr>
              <w:t>789)</w:t>
            </w:r>
          </w:p>
        </w:tc>
        <w:tc>
          <w:tcPr>
            <w:tcW w:w="226" w:type="dxa"/>
          </w:tcPr>
          <w:p w14:paraId="2C038E66" w14:textId="77777777" w:rsidR="0038698C" w:rsidRPr="002D4144" w:rsidRDefault="0038698C" w:rsidP="00914CD9">
            <w:pPr>
              <w:jc w:val="both"/>
              <w:rPr>
                <w:rFonts w:eastAsia="Calibri" w:cs="Arial"/>
                <w:sz w:val="18"/>
                <w:szCs w:val="18"/>
              </w:rPr>
            </w:pPr>
          </w:p>
        </w:tc>
        <w:tc>
          <w:tcPr>
            <w:tcW w:w="1490" w:type="dxa"/>
            <w:tcBorders>
              <w:bottom w:val="single" w:sz="4" w:space="0" w:color="auto"/>
            </w:tcBorders>
            <w:hideMark/>
          </w:tcPr>
          <w:p w14:paraId="1F7A9B13" w14:textId="77777777" w:rsidR="0038698C" w:rsidRPr="002D4144" w:rsidRDefault="0038698C" w:rsidP="00914CD9">
            <w:pPr>
              <w:jc w:val="both"/>
              <w:rPr>
                <w:rFonts w:eastAsia="Calibri" w:cs="Arial"/>
                <w:sz w:val="18"/>
                <w:szCs w:val="18"/>
              </w:rPr>
            </w:pPr>
            <w:r>
              <w:rPr>
                <w:rFonts w:eastAsia="Calibri" w:cs="Arial"/>
                <w:sz w:val="18"/>
                <w:szCs w:val="18"/>
              </w:rPr>
              <w:t>(431.</w:t>
            </w:r>
            <w:r w:rsidRPr="002D4144">
              <w:rPr>
                <w:rFonts w:eastAsia="Calibri" w:cs="Arial"/>
                <w:sz w:val="18"/>
                <w:szCs w:val="18"/>
              </w:rPr>
              <w:t>299)</w:t>
            </w:r>
          </w:p>
        </w:tc>
        <w:tc>
          <w:tcPr>
            <w:tcW w:w="236" w:type="dxa"/>
          </w:tcPr>
          <w:p w14:paraId="3D9BEE56" w14:textId="77777777" w:rsidR="0038698C" w:rsidRPr="002D4144" w:rsidRDefault="0038698C" w:rsidP="00914CD9">
            <w:pPr>
              <w:jc w:val="both"/>
              <w:rPr>
                <w:rFonts w:eastAsia="Calibri" w:cs="Arial"/>
                <w:sz w:val="18"/>
                <w:szCs w:val="18"/>
              </w:rPr>
            </w:pPr>
          </w:p>
        </w:tc>
        <w:tc>
          <w:tcPr>
            <w:tcW w:w="1505" w:type="dxa"/>
            <w:tcBorders>
              <w:bottom w:val="single" w:sz="4" w:space="0" w:color="auto"/>
            </w:tcBorders>
            <w:hideMark/>
          </w:tcPr>
          <w:p w14:paraId="22132931" w14:textId="77777777" w:rsidR="0038698C" w:rsidRPr="002D4144" w:rsidRDefault="0038698C" w:rsidP="00914CD9">
            <w:pPr>
              <w:jc w:val="both"/>
              <w:rPr>
                <w:rFonts w:eastAsia="Calibri" w:cs="Arial"/>
                <w:sz w:val="18"/>
                <w:szCs w:val="18"/>
              </w:rPr>
            </w:pPr>
            <w:r>
              <w:rPr>
                <w:rFonts w:eastAsia="Calibri" w:cs="Arial"/>
                <w:sz w:val="18"/>
                <w:szCs w:val="18"/>
              </w:rPr>
              <w:t>(1.352.</w:t>
            </w:r>
            <w:r w:rsidRPr="002D4144">
              <w:rPr>
                <w:rFonts w:eastAsia="Calibri" w:cs="Arial"/>
                <w:sz w:val="18"/>
                <w:szCs w:val="18"/>
              </w:rPr>
              <w:t>131)</w:t>
            </w:r>
          </w:p>
        </w:tc>
      </w:tr>
      <w:tr w:rsidR="0038698C" w:rsidRPr="002D4144" w14:paraId="30FE48A4" w14:textId="77777777" w:rsidTr="0038698C">
        <w:trPr>
          <w:trHeight w:val="300"/>
        </w:trPr>
        <w:tc>
          <w:tcPr>
            <w:tcW w:w="2867" w:type="dxa"/>
            <w:hideMark/>
          </w:tcPr>
          <w:p w14:paraId="6CFA8FCB" w14:textId="77777777" w:rsidR="0038698C" w:rsidRPr="002D4144" w:rsidRDefault="0038698C" w:rsidP="00914CD9">
            <w:pPr>
              <w:jc w:val="both"/>
              <w:rPr>
                <w:rFonts w:eastAsia="Calibri" w:cs="Arial"/>
                <w:sz w:val="18"/>
                <w:szCs w:val="18"/>
              </w:rPr>
            </w:pPr>
          </w:p>
        </w:tc>
        <w:tc>
          <w:tcPr>
            <w:tcW w:w="237" w:type="dxa"/>
            <w:tcBorders>
              <w:top w:val="single" w:sz="4" w:space="0" w:color="auto"/>
            </w:tcBorders>
          </w:tcPr>
          <w:p w14:paraId="636B483E" w14:textId="77777777" w:rsidR="0038698C" w:rsidRPr="002D4144" w:rsidRDefault="0038698C" w:rsidP="00914CD9">
            <w:pPr>
              <w:jc w:val="both"/>
              <w:rPr>
                <w:rFonts w:eastAsia="Calibri" w:cs="Arial"/>
                <w:sz w:val="18"/>
                <w:szCs w:val="18"/>
              </w:rPr>
            </w:pPr>
          </w:p>
        </w:tc>
        <w:tc>
          <w:tcPr>
            <w:tcW w:w="225" w:type="dxa"/>
          </w:tcPr>
          <w:p w14:paraId="25BF6923" w14:textId="77777777" w:rsidR="0038698C" w:rsidRPr="002D4144" w:rsidRDefault="0038698C" w:rsidP="00914CD9">
            <w:pPr>
              <w:jc w:val="both"/>
              <w:rPr>
                <w:rFonts w:eastAsia="Calibri" w:cs="Arial"/>
                <w:sz w:val="18"/>
                <w:szCs w:val="18"/>
              </w:rPr>
            </w:pPr>
          </w:p>
        </w:tc>
        <w:tc>
          <w:tcPr>
            <w:tcW w:w="1494" w:type="dxa"/>
            <w:tcBorders>
              <w:top w:val="single" w:sz="4" w:space="0" w:color="auto"/>
            </w:tcBorders>
            <w:hideMark/>
          </w:tcPr>
          <w:p w14:paraId="3B312BCC" w14:textId="77777777" w:rsidR="0038698C" w:rsidRPr="002D4144" w:rsidRDefault="0038698C" w:rsidP="00914CD9">
            <w:pPr>
              <w:jc w:val="both"/>
              <w:rPr>
                <w:rFonts w:eastAsia="Calibri" w:cs="Arial"/>
                <w:sz w:val="18"/>
                <w:szCs w:val="18"/>
              </w:rPr>
            </w:pPr>
          </w:p>
        </w:tc>
        <w:tc>
          <w:tcPr>
            <w:tcW w:w="226" w:type="dxa"/>
          </w:tcPr>
          <w:p w14:paraId="686A00E8" w14:textId="77777777" w:rsidR="0038698C" w:rsidRPr="002D4144" w:rsidRDefault="0038698C" w:rsidP="00914CD9">
            <w:pPr>
              <w:jc w:val="both"/>
              <w:rPr>
                <w:rFonts w:eastAsia="Calibri" w:cs="Arial"/>
                <w:sz w:val="18"/>
                <w:szCs w:val="18"/>
              </w:rPr>
            </w:pPr>
          </w:p>
        </w:tc>
        <w:tc>
          <w:tcPr>
            <w:tcW w:w="1490" w:type="dxa"/>
            <w:tcBorders>
              <w:top w:val="single" w:sz="4" w:space="0" w:color="auto"/>
            </w:tcBorders>
          </w:tcPr>
          <w:p w14:paraId="45B1AF47" w14:textId="77777777" w:rsidR="0038698C" w:rsidRPr="002D4144" w:rsidRDefault="0038698C" w:rsidP="00914CD9">
            <w:pPr>
              <w:jc w:val="both"/>
              <w:rPr>
                <w:rFonts w:eastAsia="Calibri" w:cs="Arial"/>
                <w:sz w:val="18"/>
                <w:szCs w:val="18"/>
              </w:rPr>
            </w:pPr>
          </w:p>
        </w:tc>
        <w:tc>
          <w:tcPr>
            <w:tcW w:w="236" w:type="dxa"/>
          </w:tcPr>
          <w:p w14:paraId="4C9E1F51" w14:textId="77777777" w:rsidR="0038698C" w:rsidRPr="002D4144" w:rsidRDefault="0038698C" w:rsidP="00914CD9">
            <w:pPr>
              <w:jc w:val="both"/>
              <w:rPr>
                <w:rFonts w:eastAsia="Calibri" w:cs="Arial"/>
                <w:sz w:val="18"/>
                <w:szCs w:val="18"/>
              </w:rPr>
            </w:pPr>
          </w:p>
        </w:tc>
        <w:tc>
          <w:tcPr>
            <w:tcW w:w="1505" w:type="dxa"/>
            <w:tcBorders>
              <w:top w:val="single" w:sz="4" w:space="0" w:color="auto"/>
            </w:tcBorders>
          </w:tcPr>
          <w:p w14:paraId="69244F2C" w14:textId="77777777" w:rsidR="0038698C" w:rsidRPr="002D4144" w:rsidRDefault="0038698C" w:rsidP="00914CD9">
            <w:pPr>
              <w:jc w:val="both"/>
              <w:rPr>
                <w:rFonts w:eastAsia="Calibri" w:cs="Arial"/>
                <w:sz w:val="18"/>
                <w:szCs w:val="18"/>
              </w:rPr>
            </w:pPr>
          </w:p>
        </w:tc>
      </w:tr>
      <w:tr w:rsidR="0038698C" w:rsidRPr="002D4144" w14:paraId="3398E8C3" w14:textId="77777777" w:rsidTr="0038698C">
        <w:trPr>
          <w:trHeight w:val="300"/>
        </w:trPr>
        <w:tc>
          <w:tcPr>
            <w:tcW w:w="2867" w:type="dxa"/>
            <w:hideMark/>
          </w:tcPr>
          <w:p w14:paraId="26358682" w14:textId="77777777" w:rsidR="0038698C" w:rsidRPr="002D4144" w:rsidRDefault="0038698C" w:rsidP="00914CD9">
            <w:pPr>
              <w:jc w:val="both"/>
              <w:rPr>
                <w:rFonts w:eastAsia="Calibri" w:cs="Arial"/>
                <w:sz w:val="18"/>
                <w:szCs w:val="18"/>
              </w:rPr>
            </w:pPr>
          </w:p>
        </w:tc>
        <w:tc>
          <w:tcPr>
            <w:tcW w:w="237" w:type="dxa"/>
          </w:tcPr>
          <w:p w14:paraId="6E75F547" w14:textId="77777777" w:rsidR="0038698C" w:rsidRPr="002D4144" w:rsidRDefault="0038698C" w:rsidP="00914CD9">
            <w:pPr>
              <w:jc w:val="both"/>
              <w:rPr>
                <w:rFonts w:eastAsia="Calibri" w:cs="Arial"/>
                <w:b/>
                <w:bCs/>
                <w:sz w:val="18"/>
                <w:szCs w:val="18"/>
              </w:rPr>
            </w:pPr>
            <w:r>
              <w:rPr>
                <w:rFonts w:eastAsia="Calibri" w:cs="Arial"/>
                <w:b/>
                <w:bCs/>
                <w:sz w:val="18"/>
                <w:szCs w:val="18"/>
              </w:rPr>
              <w:t>49.</w:t>
            </w:r>
            <w:r w:rsidRPr="002D4144">
              <w:rPr>
                <w:rFonts w:eastAsia="Calibri" w:cs="Arial"/>
                <w:b/>
                <w:bCs/>
                <w:sz w:val="18"/>
                <w:szCs w:val="18"/>
              </w:rPr>
              <w:t>957</w:t>
            </w:r>
          </w:p>
        </w:tc>
        <w:tc>
          <w:tcPr>
            <w:tcW w:w="225" w:type="dxa"/>
          </w:tcPr>
          <w:p w14:paraId="3E4F8CA5" w14:textId="77777777" w:rsidR="0038698C" w:rsidRPr="002D4144" w:rsidRDefault="0038698C" w:rsidP="00914CD9">
            <w:pPr>
              <w:jc w:val="both"/>
              <w:rPr>
                <w:rFonts w:eastAsia="Calibri" w:cs="Arial"/>
                <w:b/>
                <w:bCs/>
                <w:sz w:val="18"/>
                <w:szCs w:val="18"/>
              </w:rPr>
            </w:pPr>
          </w:p>
        </w:tc>
        <w:tc>
          <w:tcPr>
            <w:tcW w:w="1494" w:type="dxa"/>
            <w:hideMark/>
          </w:tcPr>
          <w:p w14:paraId="0CD3667E" w14:textId="77777777" w:rsidR="0038698C" w:rsidRPr="002D4144" w:rsidRDefault="0038698C" w:rsidP="00914CD9">
            <w:pPr>
              <w:jc w:val="both"/>
              <w:rPr>
                <w:rFonts w:eastAsia="Calibri" w:cs="Arial"/>
                <w:b/>
                <w:bCs/>
                <w:sz w:val="18"/>
                <w:szCs w:val="18"/>
              </w:rPr>
            </w:pPr>
            <w:r>
              <w:rPr>
                <w:rFonts w:eastAsia="Calibri" w:cs="Arial"/>
                <w:b/>
                <w:bCs/>
                <w:sz w:val="18"/>
                <w:szCs w:val="18"/>
              </w:rPr>
              <w:t>44.</w:t>
            </w:r>
            <w:r w:rsidRPr="002D4144">
              <w:rPr>
                <w:rFonts w:eastAsia="Calibri" w:cs="Arial"/>
                <w:b/>
                <w:bCs/>
                <w:sz w:val="18"/>
                <w:szCs w:val="18"/>
              </w:rPr>
              <w:t>895</w:t>
            </w:r>
          </w:p>
        </w:tc>
        <w:tc>
          <w:tcPr>
            <w:tcW w:w="226" w:type="dxa"/>
          </w:tcPr>
          <w:p w14:paraId="250FAD5E" w14:textId="77777777" w:rsidR="0038698C" w:rsidRPr="002D4144" w:rsidRDefault="0038698C" w:rsidP="00914CD9">
            <w:pPr>
              <w:jc w:val="both"/>
              <w:rPr>
                <w:rFonts w:eastAsia="Calibri" w:cs="Arial"/>
                <w:b/>
                <w:bCs/>
                <w:sz w:val="18"/>
                <w:szCs w:val="18"/>
              </w:rPr>
            </w:pPr>
          </w:p>
        </w:tc>
        <w:tc>
          <w:tcPr>
            <w:tcW w:w="1490" w:type="dxa"/>
            <w:hideMark/>
          </w:tcPr>
          <w:p w14:paraId="657AAE76" w14:textId="77777777" w:rsidR="0038698C" w:rsidRPr="002D4144" w:rsidRDefault="0038698C" w:rsidP="00914CD9">
            <w:pPr>
              <w:jc w:val="both"/>
              <w:rPr>
                <w:rFonts w:eastAsia="Calibri" w:cs="Arial"/>
                <w:b/>
                <w:bCs/>
                <w:sz w:val="18"/>
                <w:szCs w:val="18"/>
              </w:rPr>
            </w:pPr>
            <w:r>
              <w:rPr>
                <w:rFonts w:eastAsia="Calibri" w:cs="Arial"/>
                <w:b/>
                <w:bCs/>
                <w:sz w:val="18"/>
                <w:szCs w:val="18"/>
              </w:rPr>
              <w:t>30.</w:t>
            </w:r>
            <w:r w:rsidRPr="002D4144">
              <w:rPr>
                <w:rFonts w:eastAsia="Calibri" w:cs="Arial"/>
                <w:b/>
                <w:bCs/>
                <w:sz w:val="18"/>
                <w:szCs w:val="18"/>
              </w:rPr>
              <w:t>748</w:t>
            </w:r>
          </w:p>
        </w:tc>
        <w:tc>
          <w:tcPr>
            <w:tcW w:w="236" w:type="dxa"/>
          </w:tcPr>
          <w:p w14:paraId="2E83D15D" w14:textId="77777777" w:rsidR="0038698C" w:rsidRPr="002D4144" w:rsidRDefault="0038698C" w:rsidP="00914CD9">
            <w:pPr>
              <w:jc w:val="both"/>
              <w:rPr>
                <w:rFonts w:eastAsia="Calibri" w:cs="Arial"/>
                <w:b/>
                <w:bCs/>
                <w:sz w:val="18"/>
                <w:szCs w:val="18"/>
              </w:rPr>
            </w:pPr>
          </w:p>
        </w:tc>
        <w:tc>
          <w:tcPr>
            <w:tcW w:w="1505" w:type="dxa"/>
            <w:hideMark/>
          </w:tcPr>
          <w:p w14:paraId="1203B73A" w14:textId="77777777" w:rsidR="0038698C" w:rsidRPr="002D4144" w:rsidRDefault="0038698C" w:rsidP="00914CD9">
            <w:pPr>
              <w:jc w:val="both"/>
              <w:rPr>
                <w:rFonts w:eastAsia="Calibri" w:cs="Arial"/>
                <w:b/>
                <w:bCs/>
                <w:sz w:val="18"/>
                <w:szCs w:val="18"/>
              </w:rPr>
            </w:pPr>
            <w:r>
              <w:rPr>
                <w:rFonts w:eastAsia="Calibri" w:cs="Arial"/>
                <w:b/>
                <w:bCs/>
                <w:sz w:val="18"/>
                <w:szCs w:val="18"/>
              </w:rPr>
              <w:t>125.</w:t>
            </w:r>
            <w:r w:rsidRPr="002D4144">
              <w:rPr>
                <w:rFonts w:eastAsia="Calibri" w:cs="Arial"/>
                <w:b/>
                <w:bCs/>
                <w:sz w:val="18"/>
                <w:szCs w:val="18"/>
              </w:rPr>
              <w:t>600</w:t>
            </w:r>
          </w:p>
        </w:tc>
      </w:tr>
      <w:tr w:rsidR="0038698C" w:rsidRPr="002D4144" w14:paraId="4F1DDA83" w14:textId="77777777" w:rsidTr="0038698C">
        <w:trPr>
          <w:trHeight w:val="300"/>
        </w:trPr>
        <w:tc>
          <w:tcPr>
            <w:tcW w:w="2867" w:type="dxa"/>
            <w:hideMark/>
          </w:tcPr>
          <w:p w14:paraId="0C265FA1" w14:textId="77777777" w:rsidR="0038698C" w:rsidRPr="002D4144" w:rsidRDefault="0038698C" w:rsidP="00914CD9">
            <w:pPr>
              <w:jc w:val="both"/>
              <w:rPr>
                <w:rFonts w:eastAsia="Calibri" w:cs="Arial"/>
                <w:b/>
                <w:bCs/>
                <w:sz w:val="18"/>
                <w:szCs w:val="18"/>
              </w:rPr>
            </w:pPr>
          </w:p>
        </w:tc>
        <w:tc>
          <w:tcPr>
            <w:tcW w:w="237" w:type="dxa"/>
          </w:tcPr>
          <w:p w14:paraId="372F4E59" w14:textId="77777777" w:rsidR="0038698C" w:rsidRPr="002D4144" w:rsidRDefault="0038698C" w:rsidP="00914CD9">
            <w:pPr>
              <w:jc w:val="both"/>
              <w:rPr>
                <w:rFonts w:eastAsia="Calibri" w:cs="Arial"/>
                <w:sz w:val="18"/>
                <w:szCs w:val="18"/>
              </w:rPr>
            </w:pPr>
            <w:r w:rsidRPr="002D4144">
              <w:rPr>
                <w:rFonts w:eastAsia="Calibri" w:cs="Arial"/>
                <w:sz w:val="18"/>
                <w:szCs w:val="18"/>
              </w:rPr>
              <w:t>=========</w:t>
            </w:r>
          </w:p>
        </w:tc>
        <w:tc>
          <w:tcPr>
            <w:tcW w:w="225" w:type="dxa"/>
          </w:tcPr>
          <w:p w14:paraId="2CDD8247" w14:textId="77777777" w:rsidR="0038698C" w:rsidRPr="002D4144" w:rsidRDefault="0038698C" w:rsidP="00914CD9">
            <w:pPr>
              <w:jc w:val="both"/>
              <w:rPr>
                <w:rFonts w:eastAsia="Calibri" w:cs="Arial"/>
                <w:sz w:val="18"/>
                <w:szCs w:val="18"/>
              </w:rPr>
            </w:pPr>
          </w:p>
        </w:tc>
        <w:tc>
          <w:tcPr>
            <w:tcW w:w="1494" w:type="dxa"/>
            <w:hideMark/>
          </w:tcPr>
          <w:p w14:paraId="48DB9E62" w14:textId="77777777" w:rsidR="0038698C" w:rsidRPr="002D4144" w:rsidRDefault="0038698C" w:rsidP="00914CD9">
            <w:pPr>
              <w:jc w:val="both"/>
              <w:rPr>
                <w:rFonts w:eastAsia="Calibri" w:cs="Arial"/>
                <w:sz w:val="18"/>
                <w:szCs w:val="18"/>
              </w:rPr>
            </w:pPr>
            <w:r w:rsidRPr="002D4144">
              <w:rPr>
                <w:rFonts w:eastAsia="Calibri" w:cs="Arial"/>
                <w:sz w:val="18"/>
                <w:szCs w:val="18"/>
              </w:rPr>
              <w:t>=========</w:t>
            </w:r>
          </w:p>
        </w:tc>
        <w:tc>
          <w:tcPr>
            <w:tcW w:w="226" w:type="dxa"/>
          </w:tcPr>
          <w:p w14:paraId="2C57DF1C" w14:textId="77777777" w:rsidR="0038698C" w:rsidRPr="002D4144" w:rsidRDefault="0038698C" w:rsidP="00914CD9">
            <w:pPr>
              <w:jc w:val="both"/>
              <w:rPr>
                <w:rFonts w:eastAsia="Calibri" w:cs="Arial"/>
                <w:sz w:val="18"/>
                <w:szCs w:val="18"/>
              </w:rPr>
            </w:pPr>
          </w:p>
        </w:tc>
        <w:tc>
          <w:tcPr>
            <w:tcW w:w="1490" w:type="dxa"/>
            <w:hideMark/>
          </w:tcPr>
          <w:p w14:paraId="4216EFEA" w14:textId="77777777" w:rsidR="0038698C" w:rsidRPr="002D4144" w:rsidRDefault="0038698C" w:rsidP="00914CD9">
            <w:pPr>
              <w:jc w:val="both"/>
              <w:rPr>
                <w:rFonts w:eastAsia="Calibri" w:cs="Arial"/>
                <w:sz w:val="18"/>
                <w:szCs w:val="18"/>
              </w:rPr>
            </w:pPr>
            <w:r w:rsidRPr="002D4144">
              <w:rPr>
                <w:rFonts w:eastAsia="Calibri" w:cs="Arial"/>
                <w:sz w:val="18"/>
                <w:szCs w:val="18"/>
              </w:rPr>
              <w:t>=========</w:t>
            </w:r>
          </w:p>
        </w:tc>
        <w:tc>
          <w:tcPr>
            <w:tcW w:w="236" w:type="dxa"/>
          </w:tcPr>
          <w:p w14:paraId="04FECD70" w14:textId="77777777" w:rsidR="0038698C" w:rsidRPr="002D4144" w:rsidRDefault="0038698C" w:rsidP="00914CD9">
            <w:pPr>
              <w:jc w:val="both"/>
              <w:rPr>
                <w:rFonts w:eastAsia="Calibri" w:cs="Arial"/>
                <w:sz w:val="18"/>
                <w:szCs w:val="18"/>
              </w:rPr>
            </w:pPr>
          </w:p>
        </w:tc>
        <w:tc>
          <w:tcPr>
            <w:tcW w:w="1505" w:type="dxa"/>
            <w:hideMark/>
          </w:tcPr>
          <w:p w14:paraId="3E1BE49B" w14:textId="77777777" w:rsidR="0038698C" w:rsidRPr="002D4144" w:rsidRDefault="0038698C" w:rsidP="00914CD9">
            <w:pPr>
              <w:jc w:val="both"/>
              <w:rPr>
                <w:rFonts w:eastAsia="Calibri" w:cs="Arial"/>
                <w:sz w:val="18"/>
                <w:szCs w:val="18"/>
              </w:rPr>
            </w:pPr>
            <w:r w:rsidRPr="002D4144">
              <w:rPr>
                <w:rFonts w:eastAsia="Calibri" w:cs="Arial"/>
                <w:sz w:val="18"/>
                <w:szCs w:val="18"/>
              </w:rPr>
              <w:t>=========</w:t>
            </w:r>
          </w:p>
        </w:tc>
      </w:tr>
    </w:tbl>
    <w:p w14:paraId="4754A304" w14:textId="77777777" w:rsidR="0038698C" w:rsidRPr="002D4144" w:rsidRDefault="0038698C" w:rsidP="00914CD9">
      <w:pPr>
        <w:spacing w:after="120"/>
        <w:jc w:val="both"/>
        <w:rPr>
          <w:rFonts w:eastAsia="Calibri" w:cs="Arial"/>
          <w:b/>
        </w:rPr>
      </w:pPr>
    </w:p>
    <w:p w14:paraId="14FE989D" w14:textId="77777777" w:rsidR="0038698C" w:rsidRPr="00E41010" w:rsidRDefault="0038698C" w:rsidP="00914CD9">
      <w:pPr>
        <w:jc w:val="both"/>
        <w:rPr>
          <w:rFonts w:eastAsia="Calibri" w:cs="Arial"/>
          <w:b/>
          <w:lang w:val="es-ES_tradnl"/>
        </w:rPr>
      </w:pPr>
      <w:r w:rsidRPr="00E41010">
        <w:rPr>
          <w:rFonts w:eastAsia="Calibri" w:cs="Arial"/>
          <w:b/>
          <w:lang w:val="es-ES_tradnl"/>
        </w:rPr>
        <w:t xml:space="preserve">Nota 12: Inventario del inmovilizado </w:t>
      </w:r>
    </w:p>
    <w:p w14:paraId="06316F71" w14:textId="77777777" w:rsidR="0038698C" w:rsidRPr="002D4144" w:rsidRDefault="0038698C" w:rsidP="00914CD9">
      <w:pPr>
        <w:jc w:val="both"/>
        <w:rPr>
          <w:rFonts w:eastAsia="Calibri" w:cs="Arial"/>
        </w:rPr>
      </w:pPr>
    </w:p>
    <w:p w14:paraId="318D0291" w14:textId="77777777" w:rsidR="0038698C" w:rsidRPr="002D4144" w:rsidRDefault="0038698C" w:rsidP="00914CD9">
      <w:pPr>
        <w:jc w:val="both"/>
        <w:rPr>
          <w:rFonts w:eastAsia="Calibri" w:cs="Arial"/>
        </w:rPr>
      </w:pPr>
    </w:p>
    <w:tbl>
      <w:tblPr>
        <w:tblStyle w:val="TableGrid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577"/>
        <w:gridCol w:w="1350"/>
        <w:gridCol w:w="1560"/>
        <w:gridCol w:w="1418"/>
        <w:gridCol w:w="1162"/>
      </w:tblGrid>
      <w:tr w:rsidR="0038698C" w:rsidRPr="00857DDD" w14:paraId="55524D4E" w14:textId="77777777" w:rsidTr="0038698C">
        <w:tc>
          <w:tcPr>
            <w:tcW w:w="3577" w:type="dxa"/>
            <w:tcBorders>
              <w:top w:val="single" w:sz="18" w:space="0" w:color="auto"/>
              <w:left w:val="single" w:sz="18" w:space="0" w:color="auto"/>
            </w:tcBorders>
          </w:tcPr>
          <w:p w14:paraId="09A83737" w14:textId="77777777" w:rsidR="0038698C" w:rsidRPr="00857DDD" w:rsidRDefault="0038698C" w:rsidP="00914CD9">
            <w:pPr>
              <w:jc w:val="both"/>
              <w:rPr>
                <w:rFonts w:eastAsia="Calibri" w:cs="Arial"/>
                <w:sz w:val="18"/>
                <w:szCs w:val="18"/>
                <w:lang w:val="es-ES_tradnl"/>
              </w:rPr>
            </w:pPr>
            <w:r w:rsidRPr="00857DDD">
              <w:rPr>
                <w:rFonts w:eastAsia="Times New Roman" w:cs="Arial"/>
                <w:b/>
                <w:color w:val="000000"/>
                <w:lang w:val="es-ES_tradnl"/>
              </w:rPr>
              <w:t>Categorías</w:t>
            </w:r>
          </w:p>
        </w:tc>
        <w:tc>
          <w:tcPr>
            <w:tcW w:w="1350" w:type="dxa"/>
            <w:tcBorders>
              <w:top w:val="single" w:sz="18" w:space="0" w:color="auto"/>
            </w:tcBorders>
          </w:tcPr>
          <w:p w14:paraId="155AF7D9" w14:textId="77777777" w:rsidR="0038698C" w:rsidRPr="00857DDD" w:rsidRDefault="0038698C" w:rsidP="00914CD9">
            <w:pPr>
              <w:jc w:val="both"/>
              <w:rPr>
                <w:rFonts w:eastAsia="Calibri" w:cs="Arial"/>
                <w:b/>
                <w:sz w:val="18"/>
                <w:szCs w:val="18"/>
                <w:lang w:val="es-ES_tradnl"/>
              </w:rPr>
            </w:pPr>
            <w:r w:rsidRPr="00857DDD">
              <w:rPr>
                <w:rFonts w:eastAsia="Calibri" w:cs="Arial"/>
                <w:b/>
                <w:sz w:val="18"/>
                <w:szCs w:val="18"/>
                <w:lang w:val="es-ES_tradnl"/>
              </w:rPr>
              <w:t>Saldos de apertura (costo)</w:t>
            </w:r>
          </w:p>
        </w:tc>
        <w:tc>
          <w:tcPr>
            <w:tcW w:w="1560" w:type="dxa"/>
            <w:tcBorders>
              <w:top w:val="single" w:sz="18" w:space="0" w:color="auto"/>
            </w:tcBorders>
          </w:tcPr>
          <w:p w14:paraId="5DE30284"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Incorporaciones (costo)</w:t>
            </w:r>
          </w:p>
        </w:tc>
        <w:tc>
          <w:tcPr>
            <w:tcW w:w="1418" w:type="dxa"/>
            <w:tcBorders>
              <w:top w:val="single" w:sz="18" w:space="0" w:color="auto"/>
            </w:tcBorders>
          </w:tcPr>
          <w:p w14:paraId="68E4751E"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 xml:space="preserve">Eliminaciones por venta (costo) </w:t>
            </w:r>
          </w:p>
        </w:tc>
        <w:tc>
          <w:tcPr>
            <w:tcW w:w="1162" w:type="dxa"/>
            <w:tcBorders>
              <w:top w:val="single" w:sz="18" w:space="0" w:color="auto"/>
              <w:right w:val="single" w:sz="18" w:space="0" w:color="auto"/>
            </w:tcBorders>
          </w:tcPr>
          <w:p w14:paraId="1F6DE0B5" w14:textId="77777777" w:rsidR="0038698C" w:rsidRPr="00857DDD" w:rsidRDefault="0038698C" w:rsidP="00914CD9">
            <w:pPr>
              <w:jc w:val="both"/>
              <w:rPr>
                <w:rFonts w:eastAsia="Calibri" w:cs="Arial"/>
                <w:b/>
                <w:sz w:val="18"/>
                <w:szCs w:val="18"/>
                <w:lang w:val="es-ES_tradnl"/>
              </w:rPr>
            </w:pPr>
            <w:r w:rsidRPr="00857DDD">
              <w:rPr>
                <w:rFonts w:eastAsia="Calibri" w:cs="Arial"/>
                <w:b/>
                <w:sz w:val="18"/>
                <w:szCs w:val="18"/>
                <w:lang w:val="es-ES_tradnl"/>
              </w:rPr>
              <w:t>Saldo de cierre (costo)</w:t>
            </w:r>
          </w:p>
        </w:tc>
      </w:tr>
      <w:tr w:rsidR="0038698C" w:rsidRPr="002D4144" w14:paraId="3C562EC2" w14:textId="77777777" w:rsidTr="0038698C">
        <w:tc>
          <w:tcPr>
            <w:tcW w:w="3577" w:type="dxa"/>
            <w:tcBorders>
              <w:left w:val="single" w:sz="18" w:space="0" w:color="auto"/>
            </w:tcBorders>
          </w:tcPr>
          <w:p w14:paraId="516C8319"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 xml:space="preserve">Activos intangibles </w:t>
            </w:r>
          </w:p>
        </w:tc>
        <w:tc>
          <w:tcPr>
            <w:tcW w:w="1350" w:type="dxa"/>
          </w:tcPr>
          <w:p w14:paraId="4AEE4726" w14:textId="77777777" w:rsidR="0038698C" w:rsidRPr="002D4144" w:rsidRDefault="0038698C" w:rsidP="00914CD9">
            <w:pPr>
              <w:jc w:val="both"/>
              <w:rPr>
                <w:rFonts w:eastAsia="Calibri" w:cs="Arial"/>
                <w:sz w:val="18"/>
                <w:szCs w:val="18"/>
              </w:rPr>
            </w:pPr>
          </w:p>
        </w:tc>
        <w:tc>
          <w:tcPr>
            <w:tcW w:w="1560" w:type="dxa"/>
          </w:tcPr>
          <w:p w14:paraId="322C5A51" w14:textId="77777777" w:rsidR="0038698C" w:rsidRPr="002D4144" w:rsidRDefault="0038698C" w:rsidP="00914CD9">
            <w:pPr>
              <w:jc w:val="both"/>
              <w:rPr>
                <w:rFonts w:eastAsia="Calibri" w:cs="Arial"/>
                <w:sz w:val="18"/>
                <w:szCs w:val="18"/>
              </w:rPr>
            </w:pPr>
          </w:p>
        </w:tc>
        <w:tc>
          <w:tcPr>
            <w:tcW w:w="1418" w:type="dxa"/>
          </w:tcPr>
          <w:p w14:paraId="6A91A346"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7031AA11" w14:textId="77777777" w:rsidR="0038698C" w:rsidRPr="002D4144" w:rsidRDefault="0038698C" w:rsidP="00914CD9">
            <w:pPr>
              <w:jc w:val="both"/>
              <w:rPr>
                <w:rFonts w:eastAsia="Calibri" w:cs="Arial"/>
                <w:sz w:val="18"/>
                <w:szCs w:val="18"/>
              </w:rPr>
            </w:pPr>
          </w:p>
        </w:tc>
      </w:tr>
      <w:tr w:rsidR="0038698C" w:rsidRPr="002D4144" w14:paraId="18860172" w14:textId="77777777" w:rsidTr="0038698C">
        <w:tc>
          <w:tcPr>
            <w:tcW w:w="3577" w:type="dxa"/>
            <w:tcBorders>
              <w:left w:val="single" w:sz="18" w:space="0" w:color="auto"/>
            </w:tcBorders>
          </w:tcPr>
          <w:p w14:paraId="514CA78F"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Construcciones</w:t>
            </w:r>
          </w:p>
        </w:tc>
        <w:tc>
          <w:tcPr>
            <w:tcW w:w="1350" w:type="dxa"/>
          </w:tcPr>
          <w:p w14:paraId="04C5060C" w14:textId="77777777" w:rsidR="0038698C" w:rsidRPr="002D4144" w:rsidRDefault="0038698C" w:rsidP="00914CD9">
            <w:pPr>
              <w:jc w:val="both"/>
              <w:rPr>
                <w:rFonts w:eastAsia="Calibri" w:cs="Arial"/>
                <w:sz w:val="18"/>
                <w:szCs w:val="18"/>
              </w:rPr>
            </w:pPr>
          </w:p>
        </w:tc>
        <w:tc>
          <w:tcPr>
            <w:tcW w:w="1560" w:type="dxa"/>
          </w:tcPr>
          <w:p w14:paraId="1585BFD2" w14:textId="77777777" w:rsidR="0038698C" w:rsidRPr="002D4144" w:rsidRDefault="0038698C" w:rsidP="00914CD9">
            <w:pPr>
              <w:jc w:val="both"/>
              <w:rPr>
                <w:rFonts w:eastAsia="Calibri" w:cs="Arial"/>
                <w:sz w:val="18"/>
                <w:szCs w:val="18"/>
              </w:rPr>
            </w:pPr>
          </w:p>
        </w:tc>
        <w:tc>
          <w:tcPr>
            <w:tcW w:w="1418" w:type="dxa"/>
          </w:tcPr>
          <w:p w14:paraId="471C9D60"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2FCE4DA8" w14:textId="77777777" w:rsidR="0038698C" w:rsidRPr="002D4144" w:rsidRDefault="0038698C" w:rsidP="00914CD9">
            <w:pPr>
              <w:jc w:val="both"/>
              <w:rPr>
                <w:rFonts w:eastAsia="Calibri" w:cs="Arial"/>
                <w:sz w:val="18"/>
                <w:szCs w:val="18"/>
              </w:rPr>
            </w:pPr>
          </w:p>
        </w:tc>
      </w:tr>
      <w:tr w:rsidR="0038698C" w:rsidRPr="002D4144" w14:paraId="2C5CF858" w14:textId="77777777" w:rsidTr="0038698C">
        <w:tc>
          <w:tcPr>
            <w:tcW w:w="3577" w:type="dxa"/>
            <w:tcBorders>
              <w:left w:val="single" w:sz="18" w:space="0" w:color="auto"/>
            </w:tcBorders>
          </w:tcPr>
          <w:p w14:paraId="67F23CF7"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Rehabilitación/ Renovación</w:t>
            </w:r>
          </w:p>
        </w:tc>
        <w:tc>
          <w:tcPr>
            <w:tcW w:w="1350" w:type="dxa"/>
          </w:tcPr>
          <w:p w14:paraId="5319C5AB" w14:textId="77777777" w:rsidR="0038698C" w:rsidRPr="002D4144" w:rsidRDefault="0038698C" w:rsidP="00914CD9">
            <w:pPr>
              <w:jc w:val="both"/>
              <w:rPr>
                <w:rFonts w:eastAsia="Calibri" w:cs="Arial"/>
                <w:sz w:val="18"/>
                <w:szCs w:val="18"/>
              </w:rPr>
            </w:pPr>
          </w:p>
        </w:tc>
        <w:tc>
          <w:tcPr>
            <w:tcW w:w="1560" w:type="dxa"/>
          </w:tcPr>
          <w:p w14:paraId="1EC10737" w14:textId="77777777" w:rsidR="0038698C" w:rsidRPr="002D4144" w:rsidRDefault="0038698C" w:rsidP="00914CD9">
            <w:pPr>
              <w:jc w:val="both"/>
              <w:rPr>
                <w:rFonts w:eastAsia="Calibri" w:cs="Arial"/>
                <w:sz w:val="18"/>
                <w:szCs w:val="18"/>
              </w:rPr>
            </w:pPr>
          </w:p>
        </w:tc>
        <w:tc>
          <w:tcPr>
            <w:tcW w:w="1418" w:type="dxa"/>
          </w:tcPr>
          <w:p w14:paraId="6E3E9781"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7247177D" w14:textId="77777777" w:rsidR="0038698C" w:rsidRPr="002D4144" w:rsidRDefault="0038698C" w:rsidP="00914CD9">
            <w:pPr>
              <w:jc w:val="both"/>
              <w:rPr>
                <w:rFonts w:eastAsia="Calibri" w:cs="Arial"/>
                <w:sz w:val="18"/>
                <w:szCs w:val="18"/>
              </w:rPr>
            </w:pPr>
          </w:p>
        </w:tc>
      </w:tr>
      <w:tr w:rsidR="0038698C" w:rsidRPr="002D4144" w14:paraId="0A81D216" w14:textId="77777777" w:rsidTr="0038698C">
        <w:tc>
          <w:tcPr>
            <w:tcW w:w="3577" w:type="dxa"/>
            <w:tcBorders>
              <w:left w:val="single" w:sz="18" w:space="0" w:color="auto"/>
            </w:tcBorders>
          </w:tcPr>
          <w:p w14:paraId="05B00B09"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 xml:space="preserve">Equipamiento sanitario </w:t>
            </w:r>
          </w:p>
        </w:tc>
        <w:tc>
          <w:tcPr>
            <w:tcW w:w="1350" w:type="dxa"/>
          </w:tcPr>
          <w:p w14:paraId="4DA3FB30" w14:textId="77777777" w:rsidR="0038698C" w:rsidRPr="002D4144" w:rsidRDefault="0038698C" w:rsidP="00914CD9">
            <w:pPr>
              <w:jc w:val="both"/>
              <w:rPr>
                <w:rFonts w:eastAsia="Calibri" w:cs="Arial"/>
                <w:sz w:val="18"/>
                <w:szCs w:val="18"/>
              </w:rPr>
            </w:pPr>
          </w:p>
        </w:tc>
        <w:tc>
          <w:tcPr>
            <w:tcW w:w="1560" w:type="dxa"/>
          </w:tcPr>
          <w:p w14:paraId="26E82CA4" w14:textId="77777777" w:rsidR="0038698C" w:rsidRPr="002D4144" w:rsidRDefault="0038698C" w:rsidP="00914CD9">
            <w:pPr>
              <w:jc w:val="both"/>
              <w:rPr>
                <w:rFonts w:eastAsia="Calibri" w:cs="Arial"/>
                <w:sz w:val="18"/>
                <w:szCs w:val="18"/>
              </w:rPr>
            </w:pPr>
          </w:p>
        </w:tc>
        <w:tc>
          <w:tcPr>
            <w:tcW w:w="1418" w:type="dxa"/>
          </w:tcPr>
          <w:p w14:paraId="34055F01"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4D1A7185" w14:textId="77777777" w:rsidR="0038698C" w:rsidRPr="002D4144" w:rsidRDefault="0038698C" w:rsidP="00914CD9">
            <w:pPr>
              <w:jc w:val="both"/>
              <w:rPr>
                <w:rFonts w:eastAsia="Calibri" w:cs="Arial"/>
                <w:sz w:val="18"/>
                <w:szCs w:val="18"/>
              </w:rPr>
            </w:pPr>
          </w:p>
        </w:tc>
      </w:tr>
      <w:tr w:rsidR="0038698C" w:rsidRPr="002D4144" w14:paraId="1726A9D3" w14:textId="77777777" w:rsidTr="0038698C">
        <w:tc>
          <w:tcPr>
            <w:tcW w:w="3577" w:type="dxa"/>
            <w:tcBorders>
              <w:left w:val="single" w:sz="18" w:space="0" w:color="auto"/>
            </w:tcBorders>
          </w:tcPr>
          <w:p w14:paraId="31655682"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 xml:space="preserve">Otro equipamiento no sanitario  </w:t>
            </w:r>
          </w:p>
        </w:tc>
        <w:tc>
          <w:tcPr>
            <w:tcW w:w="1350" w:type="dxa"/>
          </w:tcPr>
          <w:p w14:paraId="17B47BC4" w14:textId="77777777" w:rsidR="0038698C" w:rsidRPr="002D4144" w:rsidRDefault="0038698C" w:rsidP="00914CD9">
            <w:pPr>
              <w:jc w:val="both"/>
              <w:rPr>
                <w:rFonts w:eastAsia="Calibri" w:cs="Arial"/>
                <w:sz w:val="18"/>
                <w:szCs w:val="18"/>
              </w:rPr>
            </w:pPr>
          </w:p>
        </w:tc>
        <w:tc>
          <w:tcPr>
            <w:tcW w:w="1560" w:type="dxa"/>
          </w:tcPr>
          <w:p w14:paraId="01FCCD12" w14:textId="77777777" w:rsidR="0038698C" w:rsidRPr="002D4144" w:rsidRDefault="0038698C" w:rsidP="00914CD9">
            <w:pPr>
              <w:jc w:val="both"/>
              <w:rPr>
                <w:rFonts w:eastAsia="Calibri" w:cs="Arial"/>
                <w:sz w:val="18"/>
                <w:szCs w:val="18"/>
              </w:rPr>
            </w:pPr>
          </w:p>
        </w:tc>
        <w:tc>
          <w:tcPr>
            <w:tcW w:w="1418" w:type="dxa"/>
          </w:tcPr>
          <w:p w14:paraId="5A53EE39"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60E6F3DF" w14:textId="77777777" w:rsidR="0038698C" w:rsidRPr="002D4144" w:rsidRDefault="0038698C" w:rsidP="00914CD9">
            <w:pPr>
              <w:jc w:val="both"/>
              <w:rPr>
                <w:rFonts w:eastAsia="Calibri" w:cs="Arial"/>
                <w:sz w:val="18"/>
                <w:szCs w:val="18"/>
              </w:rPr>
            </w:pPr>
          </w:p>
        </w:tc>
      </w:tr>
      <w:tr w:rsidR="0038698C" w:rsidRPr="002D4144" w14:paraId="70E60E51" w14:textId="77777777" w:rsidTr="0038698C">
        <w:tc>
          <w:tcPr>
            <w:tcW w:w="3577" w:type="dxa"/>
            <w:tcBorders>
              <w:left w:val="single" w:sz="18" w:space="0" w:color="auto"/>
            </w:tcBorders>
          </w:tcPr>
          <w:p w14:paraId="414DC823"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Vehículos/ motocicletas</w:t>
            </w:r>
          </w:p>
        </w:tc>
        <w:tc>
          <w:tcPr>
            <w:tcW w:w="1350" w:type="dxa"/>
          </w:tcPr>
          <w:p w14:paraId="6003C14D" w14:textId="77777777" w:rsidR="0038698C" w:rsidRPr="002D4144" w:rsidRDefault="0038698C" w:rsidP="00914CD9">
            <w:pPr>
              <w:jc w:val="both"/>
              <w:rPr>
                <w:rFonts w:eastAsia="Calibri" w:cs="Arial"/>
                <w:sz w:val="18"/>
                <w:szCs w:val="18"/>
              </w:rPr>
            </w:pPr>
          </w:p>
        </w:tc>
        <w:tc>
          <w:tcPr>
            <w:tcW w:w="1560" w:type="dxa"/>
          </w:tcPr>
          <w:p w14:paraId="0B1B97F8" w14:textId="77777777" w:rsidR="0038698C" w:rsidRPr="002D4144" w:rsidRDefault="0038698C" w:rsidP="00914CD9">
            <w:pPr>
              <w:jc w:val="both"/>
              <w:rPr>
                <w:rFonts w:eastAsia="Calibri" w:cs="Arial"/>
                <w:sz w:val="18"/>
                <w:szCs w:val="18"/>
              </w:rPr>
            </w:pPr>
          </w:p>
        </w:tc>
        <w:tc>
          <w:tcPr>
            <w:tcW w:w="1418" w:type="dxa"/>
          </w:tcPr>
          <w:p w14:paraId="3CA1B546" w14:textId="77777777" w:rsidR="0038698C" w:rsidRPr="002D4144" w:rsidRDefault="0038698C" w:rsidP="00914CD9">
            <w:pPr>
              <w:jc w:val="both"/>
              <w:rPr>
                <w:rFonts w:eastAsia="Calibri" w:cs="Arial"/>
                <w:sz w:val="18"/>
                <w:szCs w:val="18"/>
              </w:rPr>
            </w:pPr>
          </w:p>
        </w:tc>
        <w:tc>
          <w:tcPr>
            <w:tcW w:w="1162" w:type="dxa"/>
            <w:tcBorders>
              <w:right w:val="single" w:sz="18" w:space="0" w:color="auto"/>
            </w:tcBorders>
          </w:tcPr>
          <w:p w14:paraId="22B41067" w14:textId="77777777" w:rsidR="0038698C" w:rsidRPr="002D4144" w:rsidRDefault="0038698C" w:rsidP="00914CD9">
            <w:pPr>
              <w:jc w:val="both"/>
              <w:rPr>
                <w:rFonts w:eastAsia="Calibri" w:cs="Arial"/>
                <w:sz w:val="18"/>
                <w:szCs w:val="18"/>
              </w:rPr>
            </w:pPr>
          </w:p>
        </w:tc>
      </w:tr>
      <w:tr w:rsidR="0038698C" w:rsidRPr="002D4144" w14:paraId="2C458924" w14:textId="77777777" w:rsidTr="0038698C">
        <w:tc>
          <w:tcPr>
            <w:tcW w:w="3577" w:type="dxa"/>
            <w:tcBorders>
              <w:left w:val="single" w:sz="18" w:space="0" w:color="auto"/>
              <w:bottom w:val="dotted" w:sz="4" w:space="0" w:color="auto"/>
            </w:tcBorders>
          </w:tcPr>
          <w:p w14:paraId="44C01D88"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Equipos de TI (Hardware)</w:t>
            </w:r>
          </w:p>
        </w:tc>
        <w:tc>
          <w:tcPr>
            <w:tcW w:w="1350" w:type="dxa"/>
            <w:tcBorders>
              <w:bottom w:val="dotted" w:sz="4" w:space="0" w:color="auto"/>
            </w:tcBorders>
          </w:tcPr>
          <w:p w14:paraId="1939B7A9" w14:textId="77777777" w:rsidR="0038698C" w:rsidRPr="002D4144" w:rsidRDefault="0038698C" w:rsidP="00914CD9">
            <w:pPr>
              <w:jc w:val="both"/>
              <w:rPr>
                <w:rFonts w:eastAsia="Calibri" w:cs="Arial"/>
                <w:sz w:val="18"/>
                <w:szCs w:val="18"/>
              </w:rPr>
            </w:pPr>
          </w:p>
        </w:tc>
        <w:tc>
          <w:tcPr>
            <w:tcW w:w="1560" w:type="dxa"/>
            <w:tcBorders>
              <w:bottom w:val="dotted" w:sz="4" w:space="0" w:color="auto"/>
            </w:tcBorders>
          </w:tcPr>
          <w:p w14:paraId="56478C49" w14:textId="77777777" w:rsidR="0038698C" w:rsidRPr="002D4144" w:rsidRDefault="0038698C" w:rsidP="00914CD9">
            <w:pPr>
              <w:jc w:val="both"/>
              <w:rPr>
                <w:rFonts w:eastAsia="Calibri" w:cs="Arial"/>
                <w:sz w:val="18"/>
                <w:szCs w:val="18"/>
              </w:rPr>
            </w:pPr>
          </w:p>
        </w:tc>
        <w:tc>
          <w:tcPr>
            <w:tcW w:w="1418" w:type="dxa"/>
            <w:tcBorders>
              <w:bottom w:val="dotted" w:sz="4" w:space="0" w:color="auto"/>
            </w:tcBorders>
          </w:tcPr>
          <w:p w14:paraId="11DDA7B6" w14:textId="77777777" w:rsidR="0038698C" w:rsidRPr="002D4144" w:rsidRDefault="0038698C" w:rsidP="00914CD9">
            <w:pPr>
              <w:jc w:val="both"/>
              <w:rPr>
                <w:rFonts w:eastAsia="Calibri" w:cs="Arial"/>
                <w:sz w:val="18"/>
                <w:szCs w:val="18"/>
              </w:rPr>
            </w:pPr>
          </w:p>
        </w:tc>
        <w:tc>
          <w:tcPr>
            <w:tcW w:w="1162" w:type="dxa"/>
            <w:tcBorders>
              <w:bottom w:val="dotted" w:sz="4" w:space="0" w:color="auto"/>
              <w:right w:val="single" w:sz="18" w:space="0" w:color="auto"/>
            </w:tcBorders>
          </w:tcPr>
          <w:p w14:paraId="7F77A6C3" w14:textId="77777777" w:rsidR="0038698C" w:rsidRPr="002D4144" w:rsidRDefault="0038698C" w:rsidP="00914CD9">
            <w:pPr>
              <w:jc w:val="both"/>
              <w:rPr>
                <w:rFonts w:eastAsia="Calibri" w:cs="Arial"/>
                <w:sz w:val="18"/>
                <w:szCs w:val="18"/>
              </w:rPr>
            </w:pPr>
          </w:p>
        </w:tc>
      </w:tr>
      <w:tr w:rsidR="0038698C" w:rsidRPr="002D4144" w14:paraId="66296BFC" w14:textId="77777777" w:rsidTr="0038698C">
        <w:tc>
          <w:tcPr>
            <w:tcW w:w="3577" w:type="dxa"/>
            <w:tcBorders>
              <w:left w:val="single" w:sz="18" w:space="0" w:color="auto"/>
              <w:bottom w:val="single" w:sz="18" w:space="0" w:color="auto"/>
            </w:tcBorders>
          </w:tcPr>
          <w:p w14:paraId="02AAFF20" w14:textId="77777777" w:rsidR="0038698C" w:rsidRPr="00857DDD" w:rsidRDefault="0038698C" w:rsidP="00914CD9">
            <w:pPr>
              <w:jc w:val="both"/>
              <w:rPr>
                <w:rFonts w:eastAsia="Calibri" w:cs="Arial"/>
                <w:sz w:val="18"/>
                <w:szCs w:val="18"/>
                <w:lang w:val="es-ES_tradnl"/>
              </w:rPr>
            </w:pPr>
            <w:r w:rsidRPr="00857DDD">
              <w:rPr>
                <w:rFonts w:eastAsia="Calibri" w:cs="Arial"/>
                <w:sz w:val="18"/>
                <w:szCs w:val="18"/>
                <w:lang w:val="es-ES_tradnl"/>
              </w:rPr>
              <w:t>Total</w:t>
            </w:r>
          </w:p>
        </w:tc>
        <w:tc>
          <w:tcPr>
            <w:tcW w:w="1350" w:type="dxa"/>
            <w:tcBorders>
              <w:bottom w:val="single" w:sz="18" w:space="0" w:color="auto"/>
            </w:tcBorders>
          </w:tcPr>
          <w:p w14:paraId="750A2851" w14:textId="77777777" w:rsidR="0038698C" w:rsidRPr="002D4144" w:rsidRDefault="0038698C" w:rsidP="00914CD9">
            <w:pPr>
              <w:jc w:val="both"/>
              <w:rPr>
                <w:rFonts w:eastAsia="Calibri" w:cs="Arial"/>
                <w:sz w:val="18"/>
                <w:szCs w:val="18"/>
              </w:rPr>
            </w:pPr>
          </w:p>
        </w:tc>
        <w:tc>
          <w:tcPr>
            <w:tcW w:w="1560" w:type="dxa"/>
            <w:tcBorders>
              <w:bottom w:val="single" w:sz="18" w:space="0" w:color="auto"/>
            </w:tcBorders>
          </w:tcPr>
          <w:p w14:paraId="21B9A663" w14:textId="77777777" w:rsidR="0038698C" w:rsidRPr="002D4144" w:rsidRDefault="0038698C" w:rsidP="00914CD9">
            <w:pPr>
              <w:jc w:val="both"/>
              <w:rPr>
                <w:rFonts w:eastAsia="Calibri" w:cs="Arial"/>
                <w:sz w:val="18"/>
                <w:szCs w:val="18"/>
              </w:rPr>
            </w:pPr>
          </w:p>
        </w:tc>
        <w:tc>
          <w:tcPr>
            <w:tcW w:w="1418" w:type="dxa"/>
            <w:tcBorders>
              <w:bottom w:val="single" w:sz="18" w:space="0" w:color="auto"/>
            </w:tcBorders>
          </w:tcPr>
          <w:p w14:paraId="6A30F137" w14:textId="77777777" w:rsidR="0038698C" w:rsidRPr="002D4144" w:rsidRDefault="0038698C" w:rsidP="00914CD9">
            <w:pPr>
              <w:jc w:val="both"/>
              <w:rPr>
                <w:rFonts w:eastAsia="Calibri" w:cs="Arial"/>
                <w:sz w:val="18"/>
                <w:szCs w:val="18"/>
              </w:rPr>
            </w:pPr>
          </w:p>
        </w:tc>
        <w:tc>
          <w:tcPr>
            <w:tcW w:w="1162" w:type="dxa"/>
            <w:tcBorders>
              <w:bottom w:val="single" w:sz="18" w:space="0" w:color="auto"/>
              <w:right w:val="single" w:sz="18" w:space="0" w:color="auto"/>
            </w:tcBorders>
          </w:tcPr>
          <w:p w14:paraId="72A2AF3B" w14:textId="77777777" w:rsidR="0038698C" w:rsidRPr="002D4144" w:rsidRDefault="0038698C" w:rsidP="00914CD9">
            <w:pPr>
              <w:jc w:val="both"/>
              <w:rPr>
                <w:rFonts w:eastAsia="Calibri" w:cs="Arial"/>
                <w:sz w:val="18"/>
                <w:szCs w:val="18"/>
              </w:rPr>
            </w:pPr>
          </w:p>
        </w:tc>
      </w:tr>
    </w:tbl>
    <w:p w14:paraId="5E207EA2" w14:textId="77777777" w:rsidR="0038698C" w:rsidRPr="002D4144" w:rsidRDefault="0038698C" w:rsidP="00914CD9">
      <w:pPr>
        <w:jc w:val="both"/>
        <w:rPr>
          <w:rFonts w:eastAsia="Calibri" w:cs="Arial"/>
          <w:b/>
        </w:rPr>
      </w:pPr>
    </w:p>
    <w:p w14:paraId="1FA6EFC2" w14:textId="77777777" w:rsidR="0038698C" w:rsidRPr="001479D6" w:rsidRDefault="0038698C" w:rsidP="00914CD9">
      <w:pPr>
        <w:tabs>
          <w:tab w:val="left" w:pos="7530"/>
        </w:tabs>
        <w:spacing w:after="120"/>
        <w:jc w:val="both"/>
        <w:rPr>
          <w:rFonts w:eastAsia="Times New Roman" w:cs="Arial"/>
          <w:b/>
          <w:lang w:val="es-ES_tradnl"/>
        </w:rPr>
      </w:pPr>
      <w:r w:rsidRPr="001479D6">
        <w:rPr>
          <w:rFonts w:eastAsia="Times New Roman" w:cs="Arial"/>
          <w:b/>
          <w:lang w:val="es-ES_tradnl"/>
        </w:rPr>
        <w:t xml:space="preserve">Como los estados financieros descritos más arriba son ilustrativos, el Receptor Principal debe proporcionar cualquier otra información o notas de los estados pertinentes. </w:t>
      </w:r>
    </w:p>
    <w:p w14:paraId="6248B653" w14:textId="77777777" w:rsidR="0038698C" w:rsidRPr="00325F25" w:rsidRDefault="0038698C" w:rsidP="00914CD9">
      <w:pPr>
        <w:jc w:val="both"/>
        <w:rPr>
          <w:lang w:val="es-ES_tradnl"/>
        </w:rPr>
      </w:pPr>
    </w:p>
    <w:p w14:paraId="1A87679F" w14:textId="77777777" w:rsidR="0038698C" w:rsidRPr="00325F25" w:rsidRDefault="0038698C" w:rsidP="00914CD9">
      <w:pPr>
        <w:jc w:val="both"/>
        <w:rPr>
          <w:lang w:val="es-ES_tradnl"/>
        </w:rPr>
      </w:pPr>
    </w:p>
    <w:p w14:paraId="579EED97" w14:textId="77777777" w:rsidR="0038698C" w:rsidRPr="00325F25" w:rsidRDefault="0038698C" w:rsidP="00914CD9">
      <w:pPr>
        <w:jc w:val="both"/>
        <w:rPr>
          <w:lang w:val="es-ES_tradnl"/>
        </w:rPr>
      </w:pPr>
    </w:p>
    <w:p w14:paraId="4D11C387" w14:textId="749F13B8" w:rsidR="009D5C43" w:rsidRPr="0038698C" w:rsidRDefault="009D5C43" w:rsidP="00914CD9">
      <w:pPr>
        <w:jc w:val="both"/>
        <w:rPr>
          <w:rFonts w:ascii="Times New Roman" w:hAnsi="Times New Roman" w:cs="Times New Roman"/>
          <w:sz w:val="22"/>
          <w:szCs w:val="22"/>
          <w:lang w:val="es-ES_tradnl"/>
        </w:rPr>
      </w:pPr>
    </w:p>
    <w:p w14:paraId="15C47C4C" w14:textId="77777777" w:rsidR="009D5C43" w:rsidRDefault="009D5C43" w:rsidP="00914CD9">
      <w:pPr>
        <w:jc w:val="both"/>
        <w:rPr>
          <w:rFonts w:ascii="Times New Roman" w:hAnsi="Times New Roman" w:cs="Times New Roman"/>
          <w:sz w:val="22"/>
          <w:szCs w:val="22"/>
        </w:rPr>
      </w:pPr>
    </w:p>
    <w:sectPr w:rsidR="009D5C43" w:rsidSect="0038698C">
      <w:pgSz w:w="12240" w:h="15840"/>
      <w:pgMar w:top="1134" w:right="907" w:bottom="1134" w:left="567"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67EBE" w14:textId="77777777" w:rsidR="00113B76" w:rsidRDefault="00113B76">
      <w:r>
        <w:separator/>
      </w:r>
    </w:p>
  </w:endnote>
  <w:endnote w:type="continuationSeparator" w:id="0">
    <w:p w14:paraId="009167B4" w14:textId="77777777" w:rsidR="00113B76" w:rsidRDefault="0011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0000000000000000000"/>
    <w:charset w:val="02"/>
    <w:family w:val="auto"/>
    <w:notTrueType/>
    <w:pitch w:val="default"/>
  </w:font>
  <w:font w:name="Museo Sans Rounded 300">
    <w:panose1 w:val="02000000000000000000"/>
    <w:charset w:val="00"/>
    <w:family w:val="modern"/>
    <w:notTrueType/>
    <w:pitch w:val="variable"/>
    <w:sig w:usb0="A00000AF" w:usb1="4000004B" w:usb2="00000000" w:usb3="00000000" w:csb0="0000009B" w:csb1="00000000"/>
  </w:font>
  <w:font w:name="Liberation Serif">
    <w:altName w:val="Times New Roman"/>
    <w:charset w:val="01"/>
    <w:family w:val="roman"/>
    <w:pitch w:val="variable"/>
    <w:sig w:usb0="00000001" w:usb1="00000000" w:usb2="00000000" w:usb3="00000000" w:csb0="00000001" w:csb1="00000000"/>
  </w:font>
  <w:font w:name="Droid Sans Fallback">
    <w:altName w:val="Times New Roman"/>
    <w:charset w:val="01"/>
    <w:family w:val="auto"/>
    <w:pitch w:val="variable"/>
    <w:sig w:usb0="00000001" w:usb1="00000000" w:usb2="00000000" w:usb3="00000000" w:csb0="00000001" w:csb1="00000000"/>
  </w:font>
  <w:font w:name="FreeSans">
    <w:altName w:val="Arial"/>
    <w:charset w:val="01"/>
    <w:family w:val="auto"/>
    <w:pitch w:val="variable"/>
    <w:sig w:usb0="00000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CDEE+Arial Narrow">
    <w:altName w:val="Times New Roman"/>
    <w:charset w:val="01"/>
    <w:family w:val="roman"/>
    <w:pitch w:val="default"/>
    <w:sig w:usb0="00000001"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BCDEE+Georgia">
    <w:altName w:val="Times New Roman"/>
    <w:charset w:val="01"/>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222816"/>
      <w:docPartObj>
        <w:docPartGallery w:val="Page Numbers (Bottom of Page)"/>
        <w:docPartUnique/>
      </w:docPartObj>
    </w:sdtPr>
    <w:sdtEndPr>
      <w:rPr>
        <w:sz w:val="20"/>
      </w:rPr>
    </w:sdtEndPr>
    <w:sdtContent>
      <w:p w14:paraId="09FB5591" w14:textId="7B8435EF" w:rsidR="007F38CE" w:rsidRPr="00C1185E" w:rsidRDefault="007F38CE">
        <w:pPr>
          <w:pStyle w:val="Piedepgina"/>
          <w:jc w:val="right"/>
          <w:rPr>
            <w:sz w:val="20"/>
          </w:rPr>
        </w:pPr>
        <w:r w:rsidRPr="00C1185E">
          <w:rPr>
            <w:sz w:val="20"/>
          </w:rPr>
          <w:fldChar w:fldCharType="begin"/>
        </w:r>
        <w:r w:rsidRPr="00C1185E">
          <w:rPr>
            <w:sz w:val="20"/>
          </w:rPr>
          <w:instrText>PAGE   \* MERGEFORMAT</w:instrText>
        </w:r>
        <w:r w:rsidRPr="00C1185E">
          <w:rPr>
            <w:sz w:val="20"/>
          </w:rPr>
          <w:fldChar w:fldCharType="separate"/>
        </w:r>
        <w:r w:rsidR="00890854" w:rsidRPr="00890854">
          <w:rPr>
            <w:noProof/>
            <w:sz w:val="20"/>
            <w:lang w:val="es-ES"/>
          </w:rPr>
          <w:t>1</w:t>
        </w:r>
        <w:r w:rsidRPr="00C1185E">
          <w:rPr>
            <w:sz w:val="20"/>
          </w:rPr>
          <w:fldChar w:fldCharType="end"/>
        </w:r>
      </w:p>
    </w:sdtContent>
  </w:sdt>
  <w:p w14:paraId="603EEAEA" w14:textId="77777777" w:rsidR="007F38CE" w:rsidRDefault="007F38CE">
    <w:pPr>
      <w:jc w:val="right"/>
      <w:rPr>
        <w:rFonts w:ascii="ABCDEE+Georgia" w:hAnsi="ABCDEE+Georgia"/>
        <w:sz w:val="1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6342" w14:textId="77777777" w:rsidR="00113B76" w:rsidRDefault="00113B76">
      <w:r>
        <w:separator/>
      </w:r>
    </w:p>
  </w:footnote>
  <w:footnote w:type="continuationSeparator" w:id="0">
    <w:p w14:paraId="4A3DBB71" w14:textId="77777777" w:rsidR="00113B76" w:rsidRDefault="00113B76">
      <w:r>
        <w:continuationSeparator/>
      </w:r>
    </w:p>
  </w:footnote>
  <w:footnote w:id="1">
    <w:p w14:paraId="79A45FD6" w14:textId="77777777" w:rsidR="007F38CE" w:rsidRDefault="007F38CE">
      <w:pPr>
        <w:pStyle w:val="Notaalpie"/>
        <w:rPr>
          <w:rFonts w:ascii="ABCDEE+Arial Narrow" w:hAnsi="ABCDEE+Arial Narrow"/>
          <w:sz w:val="16"/>
          <w:szCs w:val="16"/>
        </w:rPr>
      </w:pPr>
      <w:r>
        <w:rPr>
          <w:sz w:val="16"/>
          <w:szCs w:val="16"/>
        </w:rPr>
        <w:footnoteRef/>
      </w:r>
      <w:r>
        <w:rPr>
          <w:sz w:val="16"/>
          <w:szCs w:val="16"/>
        </w:rPr>
        <w:tab/>
        <w:t xml:space="preserve"> </w:t>
      </w:r>
      <w:r>
        <w:rPr>
          <w:rFonts w:ascii="ABCDEE+Arial Narrow" w:hAnsi="ABCDEE+Arial Narrow"/>
          <w:sz w:val="16"/>
          <w:szCs w:val="16"/>
        </w:rPr>
        <w:t>Incluidos bienes y servicios de desembolsos directos a terceros.</w:t>
      </w:r>
    </w:p>
  </w:footnote>
  <w:footnote w:id="2">
    <w:p w14:paraId="31FD89EE" w14:textId="77777777" w:rsidR="007F38CE" w:rsidRDefault="007F38CE">
      <w:pPr>
        <w:pStyle w:val="Notaalpie"/>
        <w:rPr>
          <w:rFonts w:ascii="ABCDEE+Arial Narrow" w:hAnsi="ABCDEE+Arial Narrow"/>
          <w:sz w:val="16"/>
          <w:szCs w:val="16"/>
        </w:rPr>
      </w:pPr>
      <w:r>
        <w:rPr>
          <w:sz w:val="16"/>
          <w:szCs w:val="16"/>
        </w:rPr>
        <w:footnoteRef/>
      </w:r>
      <w:r>
        <w:rPr>
          <w:sz w:val="16"/>
          <w:szCs w:val="16"/>
        </w:rPr>
        <w:tab/>
        <w:t xml:space="preserve"> </w:t>
      </w:r>
      <w:r>
        <w:rPr>
          <w:rFonts w:ascii="ABCDEE+Arial Narrow" w:hAnsi="ABCDEE+Arial Narrow"/>
          <w:sz w:val="16"/>
          <w:szCs w:val="16"/>
        </w:rPr>
        <w:t>De intereses generados, ingresos, ganancias derivadas del tipo de cambio, recuperación de impuestos, recuperación de fondos a partir de gastos no elegibles o de otros conceptos, etc.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CD6"/>
    <w:multiLevelType w:val="hybridMultilevel"/>
    <w:tmpl w:val="000072AE"/>
    <w:lvl w:ilvl="0" w:tplc="00006952">
      <w:start w:val="1"/>
      <w:numFmt w:val="bullet"/>
      <w:lvlText w:val=""/>
      <w:lvlJc w:val="left"/>
      <w:pPr>
        <w:tabs>
          <w:tab w:val="num" w:pos="2344"/>
        </w:tabs>
        <w:ind w:left="2344"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784"/>
    <w:multiLevelType w:val="hybridMultilevel"/>
    <w:tmpl w:val="00004AE1"/>
    <w:lvl w:ilvl="0" w:tplc="00003D6C">
      <w:start w:val="35"/>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86B2B5C"/>
    <w:multiLevelType w:val="hybridMultilevel"/>
    <w:tmpl w:val="FFE6DEC8"/>
    <w:lvl w:ilvl="0" w:tplc="CF020C30">
      <w:start w:val="3"/>
      <w:numFmt w:val="bullet"/>
      <w:lvlText w:val="-"/>
      <w:lvlJc w:val="left"/>
      <w:pPr>
        <w:ind w:left="1069" w:hanging="360"/>
      </w:pPr>
      <w:rPr>
        <w:rFonts w:ascii="Gadugi" w:eastAsiaTheme="minorHAnsi" w:hAnsi="Gadugi" w:cstheme="minorBid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6" w15:restartNumberingAfterBreak="0">
    <w:nsid w:val="14886257"/>
    <w:multiLevelType w:val="hybridMultilevel"/>
    <w:tmpl w:val="02C6DB7C"/>
    <w:lvl w:ilvl="0" w:tplc="080A0005">
      <w:start w:val="1"/>
      <w:numFmt w:val="bullet"/>
      <w:lvlText w:val=""/>
      <w:lvlJc w:val="left"/>
      <w:pPr>
        <w:ind w:left="730" w:hanging="360"/>
      </w:pPr>
      <w:rPr>
        <w:rFonts w:ascii="Wingdings" w:hAnsi="Wingdings" w:hint="default"/>
      </w:rPr>
    </w:lvl>
    <w:lvl w:ilvl="1" w:tplc="080A0003" w:tentative="1">
      <w:start w:val="1"/>
      <w:numFmt w:val="bullet"/>
      <w:lvlText w:val="o"/>
      <w:lvlJc w:val="left"/>
      <w:pPr>
        <w:ind w:left="1450" w:hanging="360"/>
      </w:pPr>
      <w:rPr>
        <w:rFonts w:ascii="Courier New" w:hAnsi="Courier New" w:cs="Courier New" w:hint="default"/>
      </w:rPr>
    </w:lvl>
    <w:lvl w:ilvl="2" w:tplc="080A0005" w:tentative="1">
      <w:start w:val="1"/>
      <w:numFmt w:val="bullet"/>
      <w:lvlText w:val=""/>
      <w:lvlJc w:val="left"/>
      <w:pPr>
        <w:ind w:left="2170" w:hanging="360"/>
      </w:pPr>
      <w:rPr>
        <w:rFonts w:ascii="Wingdings" w:hAnsi="Wingdings" w:hint="default"/>
      </w:rPr>
    </w:lvl>
    <w:lvl w:ilvl="3" w:tplc="080A0001" w:tentative="1">
      <w:start w:val="1"/>
      <w:numFmt w:val="bullet"/>
      <w:lvlText w:val=""/>
      <w:lvlJc w:val="left"/>
      <w:pPr>
        <w:ind w:left="2890" w:hanging="360"/>
      </w:pPr>
      <w:rPr>
        <w:rFonts w:ascii="Symbol" w:hAnsi="Symbol" w:hint="default"/>
      </w:rPr>
    </w:lvl>
    <w:lvl w:ilvl="4" w:tplc="080A0003" w:tentative="1">
      <w:start w:val="1"/>
      <w:numFmt w:val="bullet"/>
      <w:lvlText w:val="o"/>
      <w:lvlJc w:val="left"/>
      <w:pPr>
        <w:ind w:left="3610" w:hanging="360"/>
      </w:pPr>
      <w:rPr>
        <w:rFonts w:ascii="Courier New" w:hAnsi="Courier New" w:cs="Courier New" w:hint="default"/>
      </w:rPr>
    </w:lvl>
    <w:lvl w:ilvl="5" w:tplc="080A0005" w:tentative="1">
      <w:start w:val="1"/>
      <w:numFmt w:val="bullet"/>
      <w:lvlText w:val=""/>
      <w:lvlJc w:val="left"/>
      <w:pPr>
        <w:ind w:left="4330" w:hanging="360"/>
      </w:pPr>
      <w:rPr>
        <w:rFonts w:ascii="Wingdings" w:hAnsi="Wingdings" w:hint="default"/>
      </w:rPr>
    </w:lvl>
    <w:lvl w:ilvl="6" w:tplc="080A0001" w:tentative="1">
      <w:start w:val="1"/>
      <w:numFmt w:val="bullet"/>
      <w:lvlText w:val=""/>
      <w:lvlJc w:val="left"/>
      <w:pPr>
        <w:ind w:left="5050" w:hanging="360"/>
      </w:pPr>
      <w:rPr>
        <w:rFonts w:ascii="Symbol" w:hAnsi="Symbol" w:hint="default"/>
      </w:rPr>
    </w:lvl>
    <w:lvl w:ilvl="7" w:tplc="080A0003" w:tentative="1">
      <w:start w:val="1"/>
      <w:numFmt w:val="bullet"/>
      <w:lvlText w:val="o"/>
      <w:lvlJc w:val="left"/>
      <w:pPr>
        <w:ind w:left="5770" w:hanging="360"/>
      </w:pPr>
      <w:rPr>
        <w:rFonts w:ascii="Courier New" w:hAnsi="Courier New" w:cs="Courier New" w:hint="default"/>
      </w:rPr>
    </w:lvl>
    <w:lvl w:ilvl="8" w:tplc="080A0005" w:tentative="1">
      <w:start w:val="1"/>
      <w:numFmt w:val="bullet"/>
      <w:lvlText w:val=""/>
      <w:lvlJc w:val="left"/>
      <w:pPr>
        <w:ind w:left="6490" w:hanging="360"/>
      </w:pPr>
      <w:rPr>
        <w:rFonts w:ascii="Wingdings" w:hAnsi="Wingdings" w:hint="default"/>
      </w:rPr>
    </w:lvl>
  </w:abstractNum>
  <w:abstractNum w:abstractNumId="7" w15:restartNumberingAfterBreak="0">
    <w:nsid w:val="16347CF5"/>
    <w:multiLevelType w:val="hybridMultilevel"/>
    <w:tmpl w:val="616AA2C0"/>
    <w:lvl w:ilvl="0" w:tplc="3E521994">
      <w:start w:val="59"/>
      <w:numFmt w:val="bullet"/>
      <w:lvlText w:val="•"/>
      <w:lvlJc w:val="left"/>
      <w:pPr>
        <w:tabs>
          <w:tab w:val="num" w:pos="720"/>
        </w:tabs>
        <w:ind w:left="720" w:hanging="360"/>
      </w:pPr>
      <w:rPr>
        <w:rFonts w:ascii="Arial" w:hAnsi="Arial" w:hint="default"/>
      </w:rPr>
    </w:lvl>
    <w:lvl w:ilvl="1" w:tplc="F22896CA">
      <w:start w:val="1"/>
      <w:numFmt w:val="decimal"/>
      <w:lvlText w:val="%2."/>
      <w:lvlJc w:val="left"/>
      <w:pPr>
        <w:tabs>
          <w:tab w:val="num" w:pos="1440"/>
        </w:tabs>
        <w:ind w:left="1440" w:hanging="360"/>
      </w:pPr>
    </w:lvl>
    <w:lvl w:ilvl="2" w:tplc="3E521994">
      <w:start w:val="59"/>
      <w:numFmt w:val="bullet"/>
      <w:lvlText w:val="•"/>
      <w:lvlJc w:val="left"/>
      <w:pPr>
        <w:tabs>
          <w:tab w:val="num" w:pos="2160"/>
        </w:tabs>
        <w:ind w:left="2160" w:hanging="360"/>
      </w:pPr>
      <w:rPr>
        <w:rFonts w:ascii="Arial" w:hAnsi="Arial" w:hint="default"/>
      </w:rPr>
    </w:lvl>
    <w:lvl w:ilvl="3" w:tplc="BFD62820" w:tentative="1">
      <w:start w:val="1"/>
      <w:numFmt w:val="decimal"/>
      <w:lvlText w:val="%4."/>
      <w:lvlJc w:val="left"/>
      <w:pPr>
        <w:tabs>
          <w:tab w:val="num" w:pos="2880"/>
        </w:tabs>
        <w:ind w:left="2880" w:hanging="360"/>
      </w:pPr>
    </w:lvl>
    <w:lvl w:ilvl="4" w:tplc="DE5880F0" w:tentative="1">
      <w:start w:val="1"/>
      <w:numFmt w:val="decimal"/>
      <w:lvlText w:val="%5."/>
      <w:lvlJc w:val="left"/>
      <w:pPr>
        <w:tabs>
          <w:tab w:val="num" w:pos="3600"/>
        </w:tabs>
        <w:ind w:left="3600" w:hanging="360"/>
      </w:pPr>
    </w:lvl>
    <w:lvl w:ilvl="5" w:tplc="E52C8A80" w:tentative="1">
      <w:start w:val="1"/>
      <w:numFmt w:val="decimal"/>
      <w:lvlText w:val="%6."/>
      <w:lvlJc w:val="left"/>
      <w:pPr>
        <w:tabs>
          <w:tab w:val="num" w:pos="4320"/>
        </w:tabs>
        <w:ind w:left="4320" w:hanging="360"/>
      </w:pPr>
    </w:lvl>
    <w:lvl w:ilvl="6" w:tplc="CE1A774C" w:tentative="1">
      <w:start w:val="1"/>
      <w:numFmt w:val="decimal"/>
      <w:lvlText w:val="%7."/>
      <w:lvlJc w:val="left"/>
      <w:pPr>
        <w:tabs>
          <w:tab w:val="num" w:pos="5040"/>
        </w:tabs>
        <w:ind w:left="5040" w:hanging="360"/>
      </w:pPr>
    </w:lvl>
    <w:lvl w:ilvl="7" w:tplc="380CA45E" w:tentative="1">
      <w:start w:val="1"/>
      <w:numFmt w:val="decimal"/>
      <w:lvlText w:val="%8."/>
      <w:lvlJc w:val="left"/>
      <w:pPr>
        <w:tabs>
          <w:tab w:val="num" w:pos="5760"/>
        </w:tabs>
        <w:ind w:left="5760" w:hanging="360"/>
      </w:pPr>
    </w:lvl>
    <w:lvl w:ilvl="8" w:tplc="13A2AA3C" w:tentative="1">
      <w:start w:val="1"/>
      <w:numFmt w:val="decimal"/>
      <w:lvlText w:val="%9."/>
      <w:lvlJc w:val="left"/>
      <w:pPr>
        <w:tabs>
          <w:tab w:val="num" w:pos="6480"/>
        </w:tabs>
        <w:ind w:left="6480" w:hanging="360"/>
      </w:pPr>
    </w:lvl>
  </w:abstractNum>
  <w:abstractNum w:abstractNumId="8" w15:restartNumberingAfterBreak="0">
    <w:nsid w:val="1F972D3D"/>
    <w:multiLevelType w:val="hybridMultilevel"/>
    <w:tmpl w:val="7D66163E"/>
    <w:lvl w:ilvl="0" w:tplc="D4B2612C">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345B7"/>
    <w:multiLevelType w:val="hybridMultilevel"/>
    <w:tmpl w:val="8FA8A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1312E2"/>
    <w:multiLevelType w:val="hybridMultilevel"/>
    <w:tmpl w:val="2626C180"/>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1" w15:restartNumberingAfterBreak="0">
    <w:nsid w:val="23104889"/>
    <w:multiLevelType w:val="hybridMultilevel"/>
    <w:tmpl w:val="FCF4E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EE7C8F"/>
    <w:multiLevelType w:val="hybridMultilevel"/>
    <w:tmpl w:val="6F22FEFA"/>
    <w:lvl w:ilvl="0" w:tplc="5F686E24">
      <w:start w:val="1"/>
      <w:numFmt w:val="bullet"/>
      <w:lvlText w:val=""/>
      <w:lvlJc w:val="left"/>
      <w:pPr>
        <w:ind w:left="1080" w:hanging="360"/>
      </w:pPr>
      <w:rPr>
        <w:rFonts w:ascii="Symbol" w:hAnsi="Symbol" w:hint="default"/>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35389C"/>
    <w:multiLevelType w:val="hybridMultilevel"/>
    <w:tmpl w:val="584838D6"/>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4" w15:restartNumberingAfterBreak="0">
    <w:nsid w:val="41982C5B"/>
    <w:multiLevelType w:val="multilevel"/>
    <w:tmpl w:val="C172E9F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5" w15:restartNumberingAfterBreak="0">
    <w:nsid w:val="4B9544F5"/>
    <w:multiLevelType w:val="hybridMultilevel"/>
    <w:tmpl w:val="7FBC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17D97"/>
    <w:multiLevelType w:val="hybridMultilevel"/>
    <w:tmpl w:val="C8528C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FD7285B"/>
    <w:multiLevelType w:val="hybridMultilevel"/>
    <w:tmpl w:val="29F272B2"/>
    <w:lvl w:ilvl="0" w:tplc="71A8C68A">
      <w:start w:val="1"/>
      <w:numFmt w:val="bullet"/>
      <w:lvlText w:val="-"/>
      <w:lvlJc w:val="left"/>
      <w:pPr>
        <w:ind w:left="720" w:hanging="360"/>
      </w:pPr>
      <w:rPr>
        <w:rFonts w:ascii="Museo Sans Rounded 300" w:eastAsia="Museo Sans Rounded 300" w:hAnsi="Museo Sans Rounded 300" w:cs="Museo Sans Rounded 300"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13A52"/>
    <w:multiLevelType w:val="hybridMultilevel"/>
    <w:tmpl w:val="38EE7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FF33C02"/>
    <w:multiLevelType w:val="hybridMultilevel"/>
    <w:tmpl w:val="2B2A581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15:restartNumberingAfterBreak="0">
    <w:nsid w:val="623F507F"/>
    <w:multiLevelType w:val="hybridMultilevel"/>
    <w:tmpl w:val="FC968E44"/>
    <w:lvl w:ilvl="0" w:tplc="F6666CEC">
      <w:start w:val="1"/>
      <w:numFmt w:val="upperRoman"/>
      <w:lvlText w:val="%1."/>
      <w:lvlJc w:val="left"/>
      <w:pPr>
        <w:ind w:left="720" w:hanging="72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67307298"/>
    <w:multiLevelType w:val="hybridMultilevel"/>
    <w:tmpl w:val="61F21A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78778D8"/>
    <w:multiLevelType w:val="hybridMultilevel"/>
    <w:tmpl w:val="B0123B3A"/>
    <w:lvl w:ilvl="0" w:tplc="3E521994">
      <w:start w:val="59"/>
      <w:numFmt w:val="bullet"/>
      <w:lvlText w:val="•"/>
      <w:lvlJc w:val="left"/>
      <w:pPr>
        <w:tabs>
          <w:tab w:val="num" w:pos="720"/>
        </w:tabs>
        <w:ind w:left="720" w:hanging="360"/>
      </w:pPr>
      <w:rPr>
        <w:rFonts w:ascii="Arial" w:hAnsi="Arial" w:hint="default"/>
      </w:rPr>
    </w:lvl>
    <w:lvl w:ilvl="1" w:tplc="B02AEC80" w:tentative="1">
      <w:start w:val="1"/>
      <w:numFmt w:val="decimal"/>
      <w:lvlText w:val="%2."/>
      <w:lvlJc w:val="left"/>
      <w:pPr>
        <w:tabs>
          <w:tab w:val="num" w:pos="1440"/>
        </w:tabs>
        <w:ind w:left="1440" w:hanging="360"/>
      </w:pPr>
    </w:lvl>
    <w:lvl w:ilvl="2" w:tplc="783E6F2A" w:tentative="1">
      <w:start w:val="1"/>
      <w:numFmt w:val="decimal"/>
      <w:lvlText w:val="%3."/>
      <w:lvlJc w:val="left"/>
      <w:pPr>
        <w:tabs>
          <w:tab w:val="num" w:pos="2160"/>
        </w:tabs>
        <w:ind w:left="2160" w:hanging="360"/>
      </w:pPr>
    </w:lvl>
    <w:lvl w:ilvl="3" w:tplc="307C8348" w:tentative="1">
      <w:start w:val="1"/>
      <w:numFmt w:val="decimal"/>
      <w:lvlText w:val="%4."/>
      <w:lvlJc w:val="left"/>
      <w:pPr>
        <w:tabs>
          <w:tab w:val="num" w:pos="2880"/>
        </w:tabs>
        <w:ind w:left="2880" w:hanging="360"/>
      </w:pPr>
    </w:lvl>
    <w:lvl w:ilvl="4" w:tplc="DE7A6928" w:tentative="1">
      <w:start w:val="1"/>
      <w:numFmt w:val="decimal"/>
      <w:lvlText w:val="%5."/>
      <w:lvlJc w:val="left"/>
      <w:pPr>
        <w:tabs>
          <w:tab w:val="num" w:pos="3600"/>
        </w:tabs>
        <w:ind w:left="3600" w:hanging="360"/>
      </w:pPr>
    </w:lvl>
    <w:lvl w:ilvl="5" w:tplc="81646890" w:tentative="1">
      <w:start w:val="1"/>
      <w:numFmt w:val="decimal"/>
      <w:lvlText w:val="%6."/>
      <w:lvlJc w:val="left"/>
      <w:pPr>
        <w:tabs>
          <w:tab w:val="num" w:pos="4320"/>
        </w:tabs>
        <w:ind w:left="4320" w:hanging="360"/>
      </w:pPr>
    </w:lvl>
    <w:lvl w:ilvl="6" w:tplc="F3A6CA54" w:tentative="1">
      <w:start w:val="1"/>
      <w:numFmt w:val="decimal"/>
      <w:lvlText w:val="%7."/>
      <w:lvlJc w:val="left"/>
      <w:pPr>
        <w:tabs>
          <w:tab w:val="num" w:pos="5040"/>
        </w:tabs>
        <w:ind w:left="5040" w:hanging="360"/>
      </w:pPr>
    </w:lvl>
    <w:lvl w:ilvl="7" w:tplc="9BEC2BEE" w:tentative="1">
      <w:start w:val="1"/>
      <w:numFmt w:val="decimal"/>
      <w:lvlText w:val="%8."/>
      <w:lvlJc w:val="left"/>
      <w:pPr>
        <w:tabs>
          <w:tab w:val="num" w:pos="5760"/>
        </w:tabs>
        <w:ind w:left="5760" w:hanging="360"/>
      </w:pPr>
    </w:lvl>
    <w:lvl w:ilvl="8" w:tplc="D17E769C" w:tentative="1">
      <w:start w:val="1"/>
      <w:numFmt w:val="decimal"/>
      <w:lvlText w:val="%9."/>
      <w:lvlJc w:val="left"/>
      <w:pPr>
        <w:tabs>
          <w:tab w:val="num" w:pos="6480"/>
        </w:tabs>
        <w:ind w:left="6480" w:hanging="360"/>
      </w:pPr>
    </w:lvl>
  </w:abstractNum>
  <w:abstractNum w:abstractNumId="23" w15:restartNumberingAfterBreak="0">
    <w:nsid w:val="67EF1697"/>
    <w:multiLevelType w:val="hybridMultilevel"/>
    <w:tmpl w:val="C18E1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110474"/>
    <w:multiLevelType w:val="hybridMultilevel"/>
    <w:tmpl w:val="EF2E685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20D58"/>
    <w:multiLevelType w:val="hybridMultilevel"/>
    <w:tmpl w:val="1C3C9612"/>
    <w:lvl w:ilvl="0" w:tplc="CF020C30">
      <w:start w:val="3"/>
      <w:numFmt w:val="bullet"/>
      <w:lvlText w:val="-"/>
      <w:lvlJc w:val="left"/>
      <w:pPr>
        <w:ind w:left="1069" w:hanging="360"/>
      </w:pPr>
      <w:rPr>
        <w:rFonts w:ascii="Gadugi" w:eastAsiaTheme="minorHAnsi" w:hAnsi="Gadugi" w:cstheme="minorBidi"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6" w15:restartNumberingAfterBreak="0">
    <w:nsid w:val="6FD05F12"/>
    <w:multiLevelType w:val="hybridMultilevel"/>
    <w:tmpl w:val="504CDC2A"/>
    <w:lvl w:ilvl="0" w:tplc="51AA53A4">
      <w:start w:val="1"/>
      <w:numFmt w:val="decimal"/>
      <w:lvlText w:val="%1."/>
      <w:lvlJc w:val="left"/>
      <w:pPr>
        <w:ind w:left="350" w:hanging="360"/>
      </w:pPr>
      <w:rPr>
        <w:rFonts w:hint="default"/>
      </w:rPr>
    </w:lvl>
    <w:lvl w:ilvl="1" w:tplc="080A0019">
      <w:start w:val="1"/>
      <w:numFmt w:val="lowerLetter"/>
      <w:lvlText w:val="%2."/>
      <w:lvlJc w:val="left"/>
      <w:pPr>
        <w:ind w:left="1070" w:hanging="360"/>
      </w:pPr>
    </w:lvl>
    <w:lvl w:ilvl="2" w:tplc="080A001B" w:tentative="1">
      <w:start w:val="1"/>
      <w:numFmt w:val="lowerRoman"/>
      <w:lvlText w:val="%3."/>
      <w:lvlJc w:val="right"/>
      <w:pPr>
        <w:ind w:left="1790" w:hanging="180"/>
      </w:pPr>
    </w:lvl>
    <w:lvl w:ilvl="3" w:tplc="080A000F" w:tentative="1">
      <w:start w:val="1"/>
      <w:numFmt w:val="decimal"/>
      <w:lvlText w:val="%4."/>
      <w:lvlJc w:val="left"/>
      <w:pPr>
        <w:ind w:left="2510" w:hanging="360"/>
      </w:pPr>
    </w:lvl>
    <w:lvl w:ilvl="4" w:tplc="080A0019" w:tentative="1">
      <w:start w:val="1"/>
      <w:numFmt w:val="lowerLetter"/>
      <w:lvlText w:val="%5."/>
      <w:lvlJc w:val="left"/>
      <w:pPr>
        <w:ind w:left="3230" w:hanging="360"/>
      </w:pPr>
    </w:lvl>
    <w:lvl w:ilvl="5" w:tplc="080A001B" w:tentative="1">
      <w:start w:val="1"/>
      <w:numFmt w:val="lowerRoman"/>
      <w:lvlText w:val="%6."/>
      <w:lvlJc w:val="right"/>
      <w:pPr>
        <w:ind w:left="3950" w:hanging="180"/>
      </w:pPr>
    </w:lvl>
    <w:lvl w:ilvl="6" w:tplc="080A000F" w:tentative="1">
      <w:start w:val="1"/>
      <w:numFmt w:val="decimal"/>
      <w:lvlText w:val="%7."/>
      <w:lvlJc w:val="left"/>
      <w:pPr>
        <w:ind w:left="4670" w:hanging="360"/>
      </w:pPr>
    </w:lvl>
    <w:lvl w:ilvl="7" w:tplc="080A0019" w:tentative="1">
      <w:start w:val="1"/>
      <w:numFmt w:val="lowerLetter"/>
      <w:lvlText w:val="%8."/>
      <w:lvlJc w:val="left"/>
      <w:pPr>
        <w:ind w:left="5390" w:hanging="360"/>
      </w:pPr>
    </w:lvl>
    <w:lvl w:ilvl="8" w:tplc="080A001B" w:tentative="1">
      <w:start w:val="1"/>
      <w:numFmt w:val="lowerRoman"/>
      <w:lvlText w:val="%9."/>
      <w:lvlJc w:val="right"/>
      <w:pPr>
        <w:ind w:left="6110" w:hanging="180"/>
      </w:pPr>
    </w:lvl>
  </w:abstractNum>
  <w:abstractNum w:abstractNumId="27" w15:restartNumberingAfterBreak="0">
    <w:nsid w:val="78594B1B"/>
    <w:multiLevelType w:val="hybridMultilevel"/>
    <w:tmpl w:val="012422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C774636"/>
    <w:multiLevelType w:val="hybridMultilevel"/>
    <w:tmpl w:val="2CD4397A"/>
    <w:lvl w:ilvl="0" w:tplc="38B2936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0"/>
  </w:num>
  <w:num w:numId="3">
    <w:abstractNumId w:val="6"/>
  </w:num>
  <w:num w:numId="4">
    <w:abstractNumId w:val="16"/>
  </w:num>
  <w:num w:numId="5">
    <w:abstractNumId w:val="4"/>
  </w:num>
  <w:num w:numId="6">
    <w:abstractNumId w:val="1"/>
  </w:num>
  <w:num w:numId="7">
    <w:abstractNumId w:val="3"/>
  </w:num>
  <w:num w:numId="8">
    <w:abstractNumId w:val="2"/>
  </w:num>
  <w:num w:numId="9">
    <w:abstractNumId w:val="0"/>
  </w:num>
  <w:num w:numId="10">
    <w:abstractNumId w:val="14"/>
  </w:num>
  <w:num w:numId="11">
    <w:abstractNumId w:val="13"/>
  </w:num>
  <w:num w:numId="12">
    <w:abstractNumId w:val="7"/>
  </w:num>
  <w:num w:numId="13">
    <w:abstractNumId w:val="26"/>
  </w:num>
  <w:num w:numId="14">
    <w:abstractNumId w:val="22"/>
  </w:num>
  <w:num w:numId="15">
    <w:abstractNumId w:val="5"/>
  </w:num>
  <w:num w:numId="16">
    <w:abstractNumId w:val="25"/>
  </w:num>
  <w:num w:numId="17">
    <w:abstractNumId w:val="18"/>
  </w:num>
  <w:num w:numId="18">
    <w:abstractNumId w:val="24"/>
  </w:num>
  <w:num w:numId="19">
    <w:abstractNumId w:val="19"/>
  </w:num>
  <w:num w:numId="20">
    <w:abstractNumId w:val="8"/>
  </w:num>
  <w:num w:numId="21">
    <w:abstractNumId w:val="21"/>
  </w:num>
  <w:num w:numId="22">
    <w:abstractNumId w:val="9"/>
  </w:num>
  <w:num w:numId="23">
    <w:abstractNumId w:val="23"/>
  </w:num>
  <w:num w:numId="24">
    <w:abstractNumId w:val="10"/>
  </w:num>
  <w:num w:numId="25">
    <w:abstractNumId w:val="11"/>
  </w:num>
  <w:num w:numId="26">
    <w:abstractNumId w:val="12"/>
  </w:num>
  <w:num w:numId="27">
    <w:abstractNumId w:val="27"/>
  </w:num>
  <w:num w:numId="28">
    <w:abstractNumId w:val="1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93"/>
    <w:rsid w:val="000003A0"/>
    <w:rsid w:val="0005171B"/>
    <w:rsid w:val="000654A8"/>
    <w:rsid w:val="00072608"/>
    <w:rsid w:val="00077A67"/>
    <w:rsid w:val="000B0BF5"/>
    <w:rsid w:val="000C607E"/>
    <w:rsid w:val="000E495A"/>
    <w:rsid w:val="00103B05"/>
    <w:rsid w:val="00113B76"/>
    <w:rsid w:val="0016140D"/>
    <w:rsid w:val="001713E0"/>
    <w:rsid w:val="00196162"/>
    <w:rsid w:val="001D69EB"/>
    <w:rsid w:val="002E2BAD"/>
    <w:rsid w:val="00301D84"/>
    <w:rsid w:val="00327C53"/>
    <w:rsid w:val="00364B08"/>
    <w:rsid w:val="0038698C"/>
    <w:rsid w:val="003B41C9"/>
    <w:rsid w:val="003D3B1B"/>
    <w:rsid w:val="004011A2"/>
    <w:rsid w:val="004268EB"/>
    <w:rsid w:val="00431E96"/>
    <w:rsid w:val="004373AA"/>
    <w:rsid w:val="00437CC2"/>
    <w:rsid w:val="004447E2"/>
    <w:rsid w:val="004863FA"/>
    <w:rsid w:val="004B17A9"/>
    <w:rsid w:val="004D4E7D"/>
    <w:rsid w:val="004D61BF"/>
    <w:rsid w:val="00511DD4"/>
    <w:rsid w:val="005931EF"/>
    <w:rsid w:val="005E26E3"/>
    <w:rsid w:val="005E2CE8"/>
    <w:rsid w:val="00610254"/>
    <w:rsid w:val="00625C32"/>
    <w:rsid w:val="00670141"/>
    <w:rsid w:val="00681136"/>
    <w:rsid w:val="00692F05"/>
    <w:rsid w:val="00697595"/>
    <w:rsid w:val="006B634E"/>
    <w:rsid w:val="00724D58"/>
    <w:rsid w:val="0074159F"/>
    <w:rsid w:val="00744A96"/>
    <w:rsid w:val="007A3CF6"/>
    <w:rsid w:val="007E0D24"/>
    <w:rsid w:val="007F38CE"/>
    <w:rsid w:val="0081454A"/>
    <w:rsid w:val="00817A41"/>
    <w:rsid w:val="0082780C"/>
    <w:rsid w:val="008620D3"/>
    <w:rsid w:val="00862BB1"/>
    <w:rsid w:val="0087498D"/>
    <w:rsid w:val="00876DD9"/>
    <w:rsid w:val="00890854"/>
    <w:rsid w:val="008D63CD"/>
    <w:rsid w:val="008F1ABC"/>
    <w:rsid w:val="008F3668"/>
    <w:rsid w:val="00910CC8"/>
    <w:rsid w:val="00914CD9"/>
    <w:rsid w:val="00921140"/>
    <w:rsid w:val="00954A90"/>
    <w:rsid w:val="00955124"/>
    <w:rsid w:val="009C39B6"/>
    <w:rsid w:val="009D5C43"/>
    <w:rsid w:val="009F22A9"/>
    <w:rsid w:val="009F40D2"/>
    <w:rsid w:val="00A256D5"/>
    <w:rsid w:val="00A5124F"/>
    <w:rsid w:val="00AB1293"/>
    <w:rsid w:val="00AB22BA"/>
    <w:rsid w:val="00AD0B06"/>
    <w:rsid w:val="00AD0DFA"/>
    <w:rsid w:val="00AD22D2"/>
    <w:rsid w:val="00AD66A6"/>
    <w:rsid w:val="00AE6DCB"/>
    <w:rsid w:val="00AF1AA6"/>
    <w:rsid w:val="00AF79AE"/>
    <w:rsid w:val="00B17F8F"/>
    <w:rsid w:val="00B23AC2"/>
    <w:rsid w:val="00B42580"/>
    <w:rsid w:val="00B4535A"/>
    <w:rsid w:val="00BB14BF"/>
    <w:rsid w:val="00BB208B"/>
    <w:rsid w:val="00BC6031"/>
    <w:rsid w:val="00BC78D8"/>
    <w:rsid w:val="00BE6454"/>
    <w:rsid w:val="00BF4752"/>
    <w:rsid w:val="00C1185E"/>
    <w:rsid w:val="00CA781D"/>
    <w:rsid w:val="00CC6E97"/>
    <w:rsid w:val="00CF484E"/>
    <w:rsid w:val="00D13C59"/>
    <w:rsid w:val="00D40436"/>
    <w:rsid w:val="00D508C7"/>
    <w:rsid w:val="00D50F25"/>
    <w:rsid w:val="00D60101"/>
    <w:rsid w:val="00D67664"/>
    <w:rsid w:val="00D75D0D"/>
    <w:rsid w:val="00D82567"/>
    <w:rsid w:val="00E61DC7"/>
    <w:rsid w:val="00E764C6"/>
    <w:rsid w:val="00EA667B"/>
    <w:rsid w:val="00EB3017"/>
    <w:rsid w:val="00EC2A98"/>
    <w:rsid w:val="00F31BE5"/>
    <w:rsid w:val="00F75887"/>
    <w:rsid w:val="00FF32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C8097"/>
  <w15:docId w15:val="{B3FFFF27-062F-421B-BEAD-2090456A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FreeSans"/>
        <w:sz w:val="24"/>
        <w:szCs w:val="24"/>
        <w:lang w:val="es-C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54A8"/>
    <w:pPr>
      <w:widowControl w:val="0"/>
      <w:suppressAutoHyphens/>
    </w:pPr>
  </w:style>
  <w:style w:type="paragraph" w:styleId="Ttulo2">
    <w:name w:val="heading 2"/>
    <w:basedOn w:val="Normal"/>
    <w:next w:val="Normal"/>
    <w:link w:val="Ttulo2Car"/>
    <w:uiPriority w:val="9"/>
    <w:unhideWhenUsed/>
    <w:qFormat/>
    <w:rsid w:val="009C39B6"/>
    <w:pPr>
      <w:keepNext/>
      <w:keepLines/>
      <w:widowControl/>
      <w:suppressAutoHyphens w:val="0"/>
      <w:spacing w:before="40" w:line="259" w:lineRule="auto"/>
      <w:outlineLvl w:val="1"/>
    </w:pPr>
    <w:rPr>
      <w:rFonts w:asciiTheme="majorHAnsi" w:eastAsiaTheme="majorEastAsia" w:hAnsiTheme="majorHAnsi" w:cstheme="majorBidi"/>
      <w:color w:val="365F91" w:themeColor="accent1" w:themeShade="BF"/>
      <w:sz w:val="26"/>
      <w:szCs w:val="26"/>
      <w:lang w:val="es-MX"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style>
  <w:style w:type="paragraph" w:styleId="Encabezado">
    <w:name w:val="header"/>
    <w:basedOn w:val="Normal"/>
    <w:next w:val="Cuerpodetexto"/>
    <w:pPr>
      <w:keepNext/>
      <w:spacing w:before="240" w:after="120"/>
    </w:pPr>
    <w:rPr>
      <w:rFonts w:ascii="Liberation Sans" w:hAnsi="Liberation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style>
  <w:style w:type="paragraph" w:customStyle="1" w:styleId="Encabezadodelatabla">
    <w:name w:val="Encabezado de la tabla"/>
    <w:basedOn w:val="Contenidodelatabla"/>
  </w:style>
  <w:style w:type="paragraph" w:styleId="Piedepgina">
    <w:name w:val="footer"/>
    <w:basedOn w:val="Normal"/>
    <w:link w:val="PiedepginaCar"/>
    <w:uiPriority w:val="99"/>
  </w:style>
  <w:style w:type="paragraph" w:customStyle="1" w:styleId="Notaalpie">
    <w:name w:val="Nota al pie"/>
    <w:basedOn w:val="Normal"/>
  </w:style>
  <w:style w:type="table" w:styleId="Tablaconcuadrcula">
    <w:name w:val="Table Grid"/>
    <w:basedOn w:val="Tablanormal"/>
    <w:uiPriority w:val="59"/>
    <w:rsid w:val="00741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781D"/>
    <w:rPr>
      <w:color w:val="0000FF" w:themeColor="hyperlink"/>
      <w:u w:val="single"/>
    </w:rPr>
  </w:style>
  <w:style w:type="character" w:styleId="Refdecomentario">
    <w:name w:val="annotation reference"/>
    <w:basedOn w:val="Fuentedeprrafopredeter"/>
    <w:uiPriority w:val="99"/>
    <w:semiHidden/>
    <w:unhideWhenUsed/>
    <w:rsid w:val="0082780C"/>
    <w:rPr>
      <w:sz w:val="16"/>
      <w:szCs w:val="16"/>
    </w:rPr>
  </w:style>
  <w:style w:type="paragraph" w:styleId="Textocomentario">
    <w:name w:val="annotation text"/>
    <w:basedOn w:val="Normal"/>
    <w:link w:val="TextocomentarioCar"/>
    <w:uiPriority w:val="99"/>
    <w:semiHidden/>
    <w:unhideWhenUsed/>
    <w:rsid w:val="0082780C"/>
    <w:rPr>
      <w:rFonts w:cs="Mangal"/>
      <w:sz w:val="20"/>
      <w:szCs w:val="18"/>
    </w:rPr>
  </w:style>
  <w:style w:type="character" w:customStyle="1" w:styleId="TextocomentarioCar">
    <w:name w:val="Texto comentario Car"/>
    <w:basedOn w:val="Fuentedeprrafopredeter"/>
    <w:link w:val="Textocomentario"/>
    <w:uiPriority w:val="99"/>
    <w:semiHidden/>
    <w:rsid w:val="0082780C"/>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82780C"/>
    <w:rPr>
      <w:b/>
      <w:bCs/>
    </w:rPr>
  </w:style>
  <w:style w:type="character" w:customStyle="1" w:styleId="AsuntodelcomentarioCar">
    <w:name w:val="Asunto del comentario Car"/>
    <w:basedOn w:val="TextocomentarioCar"/>
    <w:link w:val="Asuntodelcomentario"/>
    <w:uiPriority w:val="99"/>
    <w:semiHidden/>
    <w:rsid w:val="0082780C"/>
    <w:rPr>
      <w:rFonts w:cs="Mangal"/>
      <w:b/>
      <w:bCs/>
      <w:sz w:val="20"/>
      <w:szCs w:val="18"/>
    </w:rPr>
  </w:style>
  <w:style w:type="paragraph" w:styleId="Textodeglobo">
    <w:name w:val="Balloon Text"/>
    <w:basedOn w:val="Normal"/>
    <w:link w:val="TextodegloboCar"/>
    <w:uiPriority w:val="99"/>
    <w:semiHidden/>
    <w:unhideWhenUsed/>
    <w:rsid w:val="0082780C"/>
    <w:rPr>
      <w:rFonts w:ascii="Tahoma" w:hAnsi="Tahoma" w:cs="Mangal"/>
      <w:sz w:val="16"/>
      <w:szCs w:val="14"/>
    </w:rPr>
  </w:style>
  <w:style w:type="character" w:customStyle="1" w:styleId="TextodegloboCar">
    <w:name w:val="Texto de globo Car"/>
    <w:basedOn w:val="Fuentedeprrafopredeter"/>
    <w:link w:val="Textodeglobo"/>
    <w:uiPriority w:val="99"/>
    <w:semiHidden/>
    <w:rsid w:val="0082780C"/>
    <w:rPr>
      <w:rFonts w:ascii="Tahoma" w:hAnsi="Tahoma" w:cs="Mangal"/>
      <w:sz w:val="16"/>
      <w:szCs w:val="14"/>
    </w:rPr>
  </w:style>
  <w:style w:type="paragraph" w:styleId="Prrafodelista">
    <w:name w:val="List Paragraph"/>
    <w:basedOn w:val="Normal"/>
    <w:uiPriority w:val="34"/>
    <w:qFormat/>
    <w:rsid w:val="00AE6DCB"/>
    <w:pPr>
      <w:widowControl/>
      <w:suppressAutoHyphens w:val="0"/>
      <w:ind w:left="720"/>
      <w:contextualSpacing/>
    </w:pPr>
    <w:rPr>
      <w:rFonts w:ascii="Arial" w:eastAsiaTheme="minorHAnsi" w:hAnsi="Arial" w:cstheme="minorBidi"/>
      <w:sz w:val="22"/>
      <w:szCs w:val="22"/>
      <w:lang w:val="es-MX" w:eastAsia="en-US" w:bidi="ar-SA"/>
    </w:rPr>
  </w:style>
  <w:style w:type="character" w:customStyle="1" w:styleId="Ttulo2Car">
    <w:name w:val="Título 2 Car"/>
    <w:basedOn w:val="Fuentedeprrafopredeter"/>
    <w:link w:val="Ttulo2"/>
    <w:uiPriority w:val="9"/>
    <w:rsid w:val="009C39B6"/>
    <w:rPr>
      <w:rFonts w:asciiTheme="majorHAnsi" w:eastAsiaTheme="majorEastAsia" w:hAnsiTheme="majorHAnsi" w:cstheme="majorBidi"/>
      <w:color w:val="365F91" w:themeColor="accent1" w:themeShade="BF"/>
      <w:sz w:val="26"/>
      <w:szCs w:val="26"/>
      <w:lang w:val="es-MX" w:eastAsia="es-MX" w:bidi="ar-SA"/>
    </w:rPr>
  </w:style>
  <w:style w:type="paragraph" w:styleId="Textonotapie">
    <w:name w:val="footnote text"/>
    <w:aliases w:val="fn,Footnote ak,fn Char,footnote text Char,Footnotes Char,Footnote ak Char,ft,fn cafc,Footnotes Char Char,Footnote Text Char Char,fn Char Char,footnote text Char Char Char Ch,Footnote Text English,footnote text"/>
    <w:basedOn w:val="Normal"/>
    <w:link w:val="TextonotapieCar"/>
    <w:unhideWhenUsed/>
    <w:rsid w:val="009C39B6"/>
    <w:pPr>
      <w:widowControl/>
      <w:suppressAutoHyphens w:val="0"/>
    </w:pPr>
    <w:rPr>
      <w:rFonts w:ascii="Arial" w:eastAsiaTheme="minorHAnsi" w:hAnsi="Arial" w:cstheme="minorBidi"/>
      <w:sz w:val="20"/>
      <w:szCs w:val="20"/>
      <w:lang w:val="es-MX" w:eastAsia="en-US" w:bidi="ar-SA"/>
    </w:rPr>
  </w:style>
  <w:style w:type="character" w:customStyle="1" w:styleId="TextonotapieCar">
    <w:name w:val="Texto nota pie Car"/>
    <w:aliases w:val="fn Car,Footnote ak Car,fn Char Car,footnote text Char Car,Footnotes Char Car,Footnote ak Char Car,ft Car,fn cafc Car,Footnotes Char Char Car,Footnote Text Char Char Car,fn Char Char Car,footnote text Char Char Char Ch Car"/>
    <w:basedOn w:val="Fuentedeprrafopredeter"/>
    <w:link w:val="Textonotapie"/>
    <w:rsid w:val="009C39B6"/>
    <w:rPr>
      <w:rFonts w:ascii="Arial" w:eastAsiaTheme="minorHAnsi" w:hAnsi="Arial" w:cstheme="minorBidi"/>
      <w:sz w:val="20"/>
      <w:szCs w:val="20"/>
      <w:lang w:val="es-MX" w:eastAsia="en-US" w:bidi="ar-SA"/>
    </w:rPr>
  </w:style>
  <w:style w:type="character" w:styleId="Refdenotaalpie">
    <w:name w:val="footnote reference"/>
    <w:aliases w:val="ftref"/>
    <w:basedOn w:val="Fuentedeprrafopredeter"/>
    <w:unhideWhenUsed/>
    <w:rsid w:val="009C39B6"/>
    <w:rPr>
      <w:vertAlign w:val="superscript"/>
    </w:rPr>
  </w:style>
  <w:style w:type="paragraph" w:customStyle="1" w:styleId="Default">
    <w:name w:val="Default"/>
    <w:rsid w:val="009C39B6"/>
    <w:pPr>
      <w:autoSpaceDE w:val="0"/>
      <w:autoSpaceDN w:val="0"/>
      <w:adjustRightInd w:val="0"/>
    </w:pPr>
    <w:rPr>
      <w:rFonts w:ascii="Arial" w:eastAsiaTheme="minorHAnsi" w:hAnsi="Arial" w:cs="Arial"/>
      <w:color w:val="000000"/>
      <w:lang w:val="es-MX" w:eastAsia="en-US" w:bidi="ar-SA"/>
    </w:rPr>
  </w:style>
  <w:style w:type="character" w:customStyle="1" w:styleId="PiedepginaCar">
    <w:name w:val="Pie de página Car"/>
    <w:basedOn w:val="Fuentedeprrafopredeter"/>
    <w:link w:val="Piedepgina"/>
    <w:uiPriority w:val="99"/>
    <w:rsid w:val="00C1185E"/>
  </w:style>
  <w:style w:type="paragraph" w:styleId="NormalWeb">
    <w:name w:val="Normal (Web)"/>
    <w:basedOn w:val="Normal"/>
    <w:uiPriority w:val="99"/>
    <w:unhideWhenUsed/>
    <w:rsid w:val="00CF484E"/>
    <w:pPr>
      <w:widowControl/>
      <w:suppressAutoHyphens w:val="0"/>
      <w:spacing w:before="100" w:beforeAutospacing="1" w:after="100" w:afterAutospacing="1"/>
    </w:pPr>
    <w:rPr>
      <w:rFonts w:ascii="Times New Roman" w:eastAsia="Times New Roman" w:hAnsi="Times New Roman" w:cs="Times New Roman"/>
      <w:lang w:val="en-US" w:eastAsia="en-US" w:bidi="ar-SA"/>
    </w:rPr>
  </w:style>
  <w:style w:type="character" w:customStyle="1" w:styleId="object">
    <w:name w:val="object"/>
    <w:basedOn w:val="Fuentedeprrafopredeter"/>
    <w:rsid w:val="00CF484E"/>
  </w:style>
  <w:style w:type="table" w:customStyle="1" w:styleId="TableGrid1">
    <w:name w:val="Table Grid1"/>
    <w:basedOn w:val="Tablanormal"/>
    <w:next w:val="Tablaconcuadrcula"/>
    <w:uiPriority w:val="39"/>
    <w:rsid w:val="0038698C"/>
    <w:rPr>
      <w:rFonts w:ascii="Arial" w:eastAsiaTheme="minorHAnsi" w:hAnsi="Arial" w:cstheme="minorBidi"/>
      <w:sz w:val="22"/>
      <w:szCs w:val="22"/>
      <w:lang w:val="en-GB"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37C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38">
      <w:bodyDiv w:val="1"/>
      <w:marLeft w:val="0"/>
      <w:marRight w:val="0"/>
      <w:marTop w:val="0"/>
      <w:marBottom w:val="0"/>
      <w:divBdr>
        <w:top w:val="none" w:sz="0" w:space="0" w:color="auto"/>
        <w:left w:val="none" w:sz="0" w:space="0" w:color="auto"/>
        <w:bottom w:val="none" w:sz="0" w:space="0" w:color="auto"/>
        <w:right w:val="none" w:sz="0" w:space="0" w:color="auto"/>
      </w:divBdr>
    </w:div>
    <w:div w:id="62266744">
      <w:bodyDiv w:val="1"/>
      <w:marLeft w:val="0"/>
      <w:marRight w:val="0"/>
      <w:marTop w:val="0"/>
      <w:marBottom w:val="0"/>
      <w:divBdr>
        <w:top w:val="none" w:sz="0" w:space="0" w:color="auto"/>
        <w:left w:val="none" w:sz="0" w:space="0" w:color="auto"/>
        <w:bottom w:val="none" w:sz="0" w:space="0" w:color="auto"/>
        <w:right w:val="none" w:sz="0" w:space="0" w:color="auto"/>
      </w:divBdr>
    </w:div>
    <w:div w:id="284123370">
      <w:bodyDiv w:val="1"/>
      <w:marLeft w:val="0"/>
      <w:marRight w:val="0"/>
      <w:marTop w:val="0"/>
      <w:marBottom w:val="0"/>
      <w:divBdr>
        <w:top w:val="none" w:sz="0" w:space="0" w:color="auto"/>
        <w:left w:val="none" w:sz="0" w:space="0" w:color="auto"/>
        <w:bottom w:val="none" w:sz="0" w:space="0" w:color="auto"/>
        <w:right w:val="none" w:sz="0" w:space="0" w:color="auto"/>
      </w:divBdr>
    </w:div>
    <w:div w:id="379786318">
      <w:bodyDiv w:val="1"/>
      <w:marLeft w:val="0"/>
      <w:marRight w:val="0"/>
      <w:marTop w:val="0"/>
      <w:marBottom w:val="0"/>
      <w:divBdr>
        <w:top w:val="none" w:sz="0" w:space="0" w:color="auto"/>
        <w:left w:val="none" w:sz="0" w:space="0" w:color="auto"/>
        <w:bottom w:val="none" w:sz="0" w:space="0" w:color="auto"/>
        <w:right w:val="none" w:sz="0" w:space="0" w:color="auto"/>
      </w:divBdr>
    </w:div>
    <w:div w:id="381709866">
      <w:bodyDiv w:val="1"/>
      <w:marLeft w:val="0"/>
      <w:marRight w:val="0"/>
      <w:marTop w:val="0"/>
      <w:marBottom w:val="0"/>
      <w:divBdr>
        <w:top w:val="none" w:sz="0" w:space="0" w:color="auto"/>
        <w:left w:val="none" w:sz="0" w:space="0" w:color="auto"/>
        <w:bottom w:val="none" w:sz="0" w:space="0" w:color="auto"/>
        <w:right w:val="none" w:sz="0" w:space="0" w:color="auto"/>
      </w:divBdr>
    </w:div>
    <w:div w:id="618340135">
      <w:bodyDiv w:val="1"/>
      <w:marLeft w:val="0"/>
      <w:marRight w:val="0"/>
      <w:marTop w:val="0"/>
      <w:marBottom w:val="0"/>
      <w:divBdr>
        <w:top w:val="none" w:sz="0" w:space="0" w:color="auto"/>
        <w:left w:val="none" w:sz="0" w:space="0" w:color="auto"/>
        <w:bottom w:val="none" w:sz="0" w:space="0" w:color="auto"/>
        <w:right w:val="none" w:sz="0" w:space="0" w:color="auto"/>
      </w:divBdr>
    </w:div>
    <w:div w:id="963922489">
      <w:bodyDiv w:val="1"/>
      <w:marLeft w:val="0"/>
      <w:marRight w:val="0"/>
      <w:marTop w:val="0"/>
      <w:marBottom w:val="0"/>
      <w:divBdr>
        <w:top w:val="none" w:sz="0" w:space="0" w:color="auto"/>
        <w:left w:val="none" w:sz="0" w:space="0" w:color="auto"/>
        <w:bottom w:val="none" w:sz="0" w:space="0" w:color="auto"/>
        <w:right w:val="none" w:sz="0" w:space="0" w:color="auto"/>
      </w:divBdr>
    </w:div>
    <w:div w:id="1235435014">
      <w:bodyDiv w:val="1"/>
      <w:marLeft w:val="0"/>
      <w:marRight w:val="0"/>
      <w:marTop w:val="0"/>
      <w:marBottom w:val="0"/>
      <w:divBdr>
        <w:top w:val="none" w:sz="0" w:space="0" w:color="auto"/>
        <w:left w:val="none" w:sz="0" w:space="0" w:color="auto"/>
        <w:bottom w:val="none" w:sz="0" w:space="0" w:color="auto"/>
        <w:right w:val="none" w:sz="0" w:space="0" w:color="auto"/>
      </w:divBdr>
    </w:div>
    <w:div w:id="1387071287">
      <w:bodyDiv w:val="1"/>
      <w:marLeft w:val="0"/>
      <w:marRight w:val="0"/>
      <w:marTop w:val="0"/>
      <w:marBottom w:val="0"/>
      <w:divBdr>
        <w:top w:val="none" w:sz="0" w:space="0" w:color="auto"/>
        <w:left w:val="none" w:sz="0" w:space="0" w:color="auto"/>
        <w:bottom w:val="none" w:sz="0" w:space="0" w:color="auto"/>
        <w:right w:val="none" w:sz="0" w:space="0" w:color="auto"/>
      </w:divBdr>
    </w:div>
    <w:div w:id="1387222671">
      <w:bodyDiv w:val="1"/>
      <w:marLeft w:val="0"/>
      <w:marRight w:val="0"/>
      <w:marTop w:val="0"/>
      <w:marBottom w:val="0"/>
      <w:divBdr>
        <w:top w:val="none" w:sz="0" w:space="0" w:color="auto"/>
        <w:left w:val="none" w:sz="0" w:space="0" w:color="auto"/>
        <w:bottom w:val="none" w:sz="0" w:space="0" w:color="auto"/>
        <w:right w:val="none" w:sz="0" w:space="0" w:color="auto"/>
      </w:divBdr>
    </w:div>
    <w:div w:id="1532842201">
      <w:bodyDiv w:val="1"/>
      <w:marLeft w:val="0"/>
      <w:marRight w:val="0"/>
      <w:marTop w:val="0"/>
      <w:marBottom w:val="0"/>
      <w:divBdr>
        <w:top w:val="none" w:sz="0" w:space="0" w:color="auto"/>
        <w:left w:val="none" w:sz="0" w:space="0" w:color="auto"/>
        <w:bottom w:val="none" w:sz="0" w:space="0" w:color="auto"/>
        <w:right w:val="none" w:sz="0" w:space="0" w:color="auto"/>
      </w:divBdr>
    </w:div>
    <w:div w:id="1611283221">
      <w:bodyDiv w:val="1"/>
      <w:marLeft w:val="0"/>
      <w:marRight w:val="0"/>
      <w:marTop w:val="0"/>
      <w:marBottom w:val="0"/>
      <w:divBdr>
        <w:top w:val="none" w:sz="0" w:space="0" w:color="auto"/>
        <w:left w:val="none" w:sz="0" w:space="0" w:color="auto"/>
        <w:bottom w:val="none" w:sz="0" w:space="0" w:color="auto"/>
        <w:right w:val="none" w:sz="0" w:space="0" w:color="auto"/>
      </w:divBdr>
    </w:div>
    <w:div w:id="1615601845">
      <w:bodyDiv w:val="1"/>
      <w:marLeft w:val="0"/>
      <w:marRight w:val="0"/>
      <w:marTop w:val="0"/>
      <w:marBottom w:val="0"/>
      <w:divBdr>
        <w:top w:val="none" w:sz="0" w:space="0" w:color="auto"/>
        <w:left w:val="none" w:sz="0" w:space="0" w:color="auto"/>
        <w:bottom w:val="none" w:sz="0" w:space="0" w:color="auto"/>
        <w:right w:val="none" w:sz="0" w:space="0" w:color="auto"/>
      </w:divBdr>
    </w:div>
    <w:div w:id="1862545710">
      <w:bodyDiv w:val="1"/>
      <w:marLeft w:val="0"/>
      <w:marRight w:val="0"/>
      <w:marTop w:val="0"/>
      <w:marBottom w:val="0"/>
      <w:divBdr>
        <w:top w:val="none" w:sz="0" w:space="0" w:color="auto"/>
        <w:left w:val="none" w:sz="0" w:space="0" w:color="auto"/>
        <w:bottom w:val="none" w:sz="0" w:space="0" w:color="auto"/>
        <w:right w:val="none" w:sz="0" w:space="0" w:color="auto"/>
      </w:divBdr>
    </w:div>
    <w:div w:id="2050949950">
      <w:bodyDiv w:val="1"/>
      <w:marLeft w:val="0"/>
      <w:marRight w:val="0"/>
      <w:marTop w:val="0"/>
      <w:marBottom w:val="0"/>
      <w:divBdr>
        <w:top w:val="none" w:sz="0" w:space="0" w:color="auto"/>
        <w:left w:val="none" w:sz="0" w:space="0" w:color="auto"/>
        <w:bottom w:val="none" w:sz="0" w:space="0" w:color="auto"/>
        <w:right w:val="none" w:sz="0" w:space="0" w:color="auto"/>
      </w:divBdr>
    </w:div>
    <w:div w:id="2100440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anchez@hivo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lobalfund.org/media/10079/core_annualauditsoffinancialstatements_guideline_es.pdf?u=637341239161570000" TargetMode="External"/><Relationship Id="rId5" Type="http://schemas.openxmlformats.org/officeDocument/2006/relationships/webSettings" Target="webSettings.xml"/><Relationship Id="rId10" Type="http://schemas.openxmlformats.org/officeDocument/2006/relationships/hyperlink" Target="https://www.theglobalfund.org/media/7540/financial_financialriskmanagement_guidelines_en.pdf?u=636784020850000000" TargetMode="External"/><Relationship Id="rId4" Type="http://schemas.openxmlformats.org/officeDocument/2006/relationships/settings" Target="settings.xml"/><Relationship Id="rId9" Type="http://schemas.openxmlformats.org/officeDocument/2006/relationships/hyperlink" Target="mailto:rjimenez@hivos.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F7B19-5F10-40D6-856C-7BCD76A0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9811</Words>
  <Characters>55925</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dc:creator>
  <cp:lastModifiedBy>Roxana Jimenez</cp:lastModifiedBy>
  <cp:revision>2</cp:revision>
  <dcterms:created xsi:type="dcterms:W3CDTF">2020-12-18T17:38:00Z</dcterms:created>
  <dcterms:modified xsi:type="dcterms:W3CDTF">2020-12-18T17:38:00Z</dcterms:modified>
  <dc:language>es-CR</dc:language>
</cp:coreProperties>
</file>